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7AB" w:rsidRPr="00741A93" w:rsidRDefault="004937AB" w:rsidP="00267AB2">
      <w:pPr>
        <w:spacing w:line="360" w:lineRule="auto"/>
        <w:jc w:val="center"/>
        <w:rPr>
          <w:rFonts w:ascii="Century Gothic" w:hAnsi="Century Gothic"/>
          <w:b/>
          <w:color w:val="000000" w:themeColor="text1"/>
          <w:sz w:val="24"/>
          <w:szCs w:val="24"/>
          <w:u w:val="single"/>
        </w:rPr>
      </w:pPr>
      <w:r w:rsidRPr="00741A93">
        <w:rPr>
          <w:rFonts w:ascii="Century Gothic" w:hAnsi="Century Gothic"/>
          <w:b/>
          <w:color w:val="000000" w:themeColor="text1"/>
          <w:sz w:val="24"/>
          <w:szCs w:val="24"/>
          <w:u w:val="single"/>
        </w:rPr>
        <w:t>NOTA TÉCNICA JURÍDICA PREVIDENCIÁRIA Nº 02/2019</w:t>
      </w:r>
    </w:p>
    <w:p w:rsidR="004937AB" w:rsidRPr="00741A93" w:rsidRDefault="004937AB" w:rsidP="00267AB2">
      <w:pPr>
        <w:spacing w:line="360" w:lineRule="auto"/>
        <w:ind w:left="3540"/>
        <w:jc w:val="both"/>
        <w:rPr>
          <w:rFonts w:ascii="Century Gothic" w:hAnsi="Century Gothic"/>
          <w:color w:val="000000" w:themeColor="text1"/>
          <w:sz w:val="24"/>
          <w:szCs w:val="24"/>
        </w:rPr>
      </w:pPr>
    </w:p>
    <w:p w:rsidR="004937AB" w:rsidRPr="00741A93" w:rsidRDefault="004937AB" w:rsidP="00267AB2">
      <w:pPr>
        <w:spacing w:line="360" w:lineRule="auto"/>
        <w:jc w:val="both"/>
        <w:rPr>
          <w:rFonts w:ascii="Century Gothic" w:hAnsi="Century Gothic"/>
          <w:color w:val="000000" w:themeColor="text1"/>
          <w:sz w:val="24"/>
          <w:szCs w:val="24"/>
        </w:rPr>
      </w:pPr>
      <w:r w:rsidRPr="00741A93">
        <w:rPr>
          <w:rFonts w:ascii="Century Gothic" w:hAnsi="Century Gothic"/>
          <w:b/>
          <w:color w:val="000000" w:themeColor="text1"/>
          <w:sz w:val="24"/>
          <w:szCs w:val="24"/>
        </w:rPr>
        <w:t xml:space="preserve">Assunto: </w:t>
      </w:r>
      <w:r w:rsidRPr="00741A93">
        <w:rPr>
          <w:rFonts w:ascii="Century Gothic" w:hAnsi="Century Gothic"/>
          <w:color w:val="000000" w:themeColor="text1"/>
          <w:sz w:val="24"/>
          <w:szCs w:val="24"/>
        </w:rPr>
        <w:t xml:space="preserve">Prescrição e Decadência e a sua aplicação </w:t>
      </w:r>
      <w:r w:rsidR="00267AB2" w:rsidRPr="00741A93">
        <w:rPr>
          <w:rFonts w:ascii="Century Gothic" w:hAnsi="Century Gothic"/>
          <w:color w:val="000000" w:themeColor="text1"/>
          <w:sz w:val="24"/>
          <w:szCs w:val="24"/>
        </w:rPr>
        <w:t>na</w:t>
      </w:r>
      <w:r w:rsidR="000C15C8" w:rsidRPr="00741A93">
        <w:rPr>
          <w:rFonts w:ascii="Century Gothic" w:hAnsi="Century Gothic"/>
          <w:color w:val="000000" w:themeColor="text1"/>
          <w:sz w:val="24"/>
          <w:szCs w:val="24"/>
        </w:rPr>
        <w:t>s revisões de benefícios previdenciários</w:t>
      </w:r>
      <w:r w:rsidRPr="00741A93">
        <w:rPr>
          <w:rFonts w:ascii="Century Gothic" w:hAnsi="Century Gothic"/>
          <w:color w:val="000000" w:themeColor="text1"/>
          <w:sz w:val="24"/>
          <w:szCs w:val="24"/>
        </w:rPr>
        <w:t>.</w:t>
      </w:r>
    </w:p>
    <w:p w:rsidR="006277D9" w:rsidRDefault="006B1BAD" w:rsidP="00267AB2">
      <w:pPr>
        <w:shd w:val="clear" w:color="auto" w:fill="FFFFFF"/>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Betim, 21 de outubro de 2019.</w:t>
      </w:r>
    </w:p>
    <w:p w:rsidR="004937AB" w:rsidRPr="00741A93" w:rsidRDefault="00267AB2" w:rsidP="00267AB2">
      <w:pPr>
        <w:shd w:val="clear" w:color="auto" w:fill="FFFFFF"/>
        <w:spacing w:line="360" w:lineRule="auto"/>
        <w:jc w:val="both"/>
        <w:rPr>
          <w:rFonts w:ascii="Century Gothic" w:hAnsi="Century Gothic"/>
          <w:color w:val="000000" w:themeColor="text1"/>
          <w:sz w:val="24"/>
          <w:szCs w:val="24"/>
        </w:rPr>
      </w:pPr>
      <w:r w:rsidRPr="00741A93">
        <w:rPr>
          <w:rFonts w:ascii="Century Gothic" w:hAnsi="Century Gothic"/>
          <w:color w:val="000000" w:themeColor="text1"/>
          <w:sz w:val="24"/>
          <w:szCs w:val="24"/>
        </w:rPr>
        <w:t xml:space="preserve">Diante dos constantes questionamentos trazidos a essa Procuradoria </w:t>
      </w:r>
      <w:r w:rsidR="009A088E" w:rsidRPr="00741A93">
        <w:rPr>
          <w:rFonts w:ascii="Century Gothic" w:hAnsi="Century Gothic"/>
          <w:color w:val="000000" w:themeColor="text1"/>
          <w:sz w:val="24"/>
          <w:szCs w:val="24"/>
        </w:rPr>
        <w:t xml:space="preserve">Autárquica </w:t>
      </w:r>
      <w:r w:rsidRPr="00741A93">
        <w:rPr>
          <w:rFonts w:ascii="Century Gothic" w:hAnsi="Century Gothic"/>
          <w:color w:val="000000" w:themeColor="text1"/>
          <w:sz w:val="24"/>
          <w:szCs w:val="24"/>
        </w:rPr>
        <w:t xml:space="preserve">acerca da aplicação </w:t>
      </w:r>
      <w:r w:rsidR="009A088E" w:rsidRPr="00741A93">
        <w:rPr>
          <w:rFonts w:ascii="Century Gothic" w:hAnsi="Century Gothic"/>
          <w:color w:val="000000" w:themeColor="text1"/>
          <w:sz w:val="24"/>
          <w:szCs w:val="24"/>
        </w:rPr>
        <w:t>dos institutos da</w:t>
      </w:r>
      <w:r w:rsidRPr="00741A93">
        <w:rPr>
          <w:rFonts w:ascii="Century Gothic" w:hAnsi="Century Gothic"/>
          <w:color w:val="000000" w:themeColor="text1"/>
          <w:sz w:val="24"/>
          <w:szCs w:val="24"/>
        </w:rPr>
        <w:t xml:space="preserve"> prescrição e da decadência </w:t>
      </w:r>
      <w:r w:rsidR="000C15C8" w:rsidRPr="00741A93">
        <w:rPr>
          <w:rFonts w:ascii="Century Gothic" w:hAnsi="Century Gothic"/>
          <w:color w:val="000000" w:themeColor="text1"/>
          <w:sz w:val="24"/>
          <w:szCs w:val="24"/>
        </w:rPr>
        <w:t>nas</w:t>
      </w:r>
      <w:r w:rsidRPr="00741A93">
        <w:rPr>
          <w:rFonts w:ascii="Century Gothic" w:hAnsi="Century Gothic"/>
          <w:color w:val="000000" w:themeColor="text1"/>
          <w:sz w:val="24"/>
          <w:szCs w:val="24"/>
        </w:rPr>
        <w:t xml:space="preserve"> </w:t>
      </w:r>
      <w:r w:rsidR="004937AB" w:rsidRPr="00741A93">
        <w:rPr>
          <w:rFonts w:ascii="Century Gothic" w:hAnsi="Century Gothic"/>
          <w:color w:val="000000" w:themeColor="text1"/>
          <w:sz w:val="24"/>
          <w:szCs w:val="24"/>
        </w:rPr>
        <w:t>revis</w:t>
      </w:r>
      <w:r w:rsidRPr="00741A93">
        <w:rPr>
          <w:rFonts w:ascii="Century Gothic" w:hAnsi="Century Gothic"/>
          <w:color w:val="000000" w:themeColor="text1"/>
          <w:sz w:val="24"/>
          <w:szCs w:val="24"/>
        </w:rPr>
        <w:t>ões</w:t>
      </w:r>
      <w:r w:rsidR="004937AB" w:rsidRPr="00741A93">
        <w:rPr>
          <w:rFonts w:ascii="Century Gothic" w:hAnsi="Century Gothic"/>
          <w:color w:val="000000" w:themeColor="text1"/>
          <w:sz w:val="24"/>
          <w:szCs w:val="24"/>
        </w:rPr>
        <w:t xml:space="preserve"> de benefícios previdenciários</w:t>
      </w:r>
      <w:r w:rsidR="009A088E" w:rsidRPr="00741A93">
        <w:rPr>
          <w:rFonts w:ascii="Century Gothic" w:hAnsi="Century Gothic"/>
          <w:color w:val="000000" w:themeColor="text1"/>
          <w:sz w:val="24"/>
          <w:szCs w:val="24"/>
        </w:rPr>
        <w:t xml:space="preserve"> (aposentadorias e pensões por morte</w:t>
      </w:r>
      <w:r w:rsidR="006277D9" w:rsidRPr="00741A93">
        <w:rPr>
          <w:rFonts w:ascii="Century Gothic" w:hAnsi="Century Gothic"/>
          <w:color w:val="000000" w:themeColor="text1"/>
          <w:sz w:val="24"/>
          <w:szCs w:val="24"/>
        </w:rPr>
        <w:t>, etc.</w:t>
      </w:r>
      <w:r w:rsidR="009A088E" w:rsidRPr="00741A93">
        <w:rPr>
          <w:rFonts w:ascii="Century Gothic" w:hAnsi="Century Gothic"/>
          <w:color w:val="000000" w:themeColor="text1"/>
          <w:sz w:val="24"/>
          <w:szCs w:val="24"/>
        </w:rPr>
        <w:t>)</w:t>
      </w:r>
      <w:r w:rsidRPr="00741A93">
        <w:rPr>
          <w:rFonts w:ascii="Century Gothic" w:hAnsi="Century Gothic"/>
          <w:color w:val="000000" w:themeColor="text1"/>
          <w:sz w:val="24"/>
          <w:szCs w:val="24"/>
        </w:rPr>
        <w:t xml:space="preserve">, </w:t>
      </w:r>
      <w:r w:rsidR="000C15C8" w:rsidRPr="00741A93">
        <w:rPr>
          <w:rFonts w:ascii="Century Gothic" w:hAnsi="Century Gothic"/>
          <w:color w:val="000000" w:themeColor="text1"/>
          <w:sz w:val="24"/>
          <w:szCs w:val="24"/>
        </w:rPr>
        <w:t>decidimos</w:t>
      </w:r>
      <w:r w:rsidR="009A088E" w:rsidRPr="00741A93">
        <w:rPr>
          <w:rFonts w:ascii="Century Gothic" w:hAnsi="Century Gothic"/>
          <w:color w:val="000000" w:themeColor="text1"/>
          <w:sz w:val="24"/>
          <w:szCs w:val="24"/>
        </w:rPr>
        <w:t xml:space="preserve"> </w:t>
      </w:r>
      <w:r w:rsidRPr="00741A93">
        <w:rPr>
          <w:rFonts w:ascii="Century Gothic" w:hAnsi="Century Gothic"/>
          <w:color w:val="000000" w:themeColor="text1"/>
          <w:sz w:val="24"/>
          <w:szCs w:val="24"/>
        </w:rPr>
        <w:t xml:space="preserve">emitir a presente Nota Técnica Jurídica, de modo a uniformizar o entendimento </w:t>
      </w:r>
      <w:r w:rsidR="009A088E" w:rsidRPr="00741A93">
        <w:rPr>
          <w:rFonts w:ascii="Century Gothic" w:hAnsi="Century Gothic"/>
          <w:color w:val="000000" w:themeColor="text1"/>
          <w:sz w:val="24"/>
          <w:szCs w:val="24"/>
        </w:rPr>
        <w:t xml:space="preserve">a ser adotado </w:t>
      </w:r>
      <w:r w:rsidRPr="00741A93">
        <w:rPr>
          <w:rFonts w:ascii="Century Gothic" w:hAnsi="Century Gothic"/>
          <w:color w:val="000000" w:themeColor="text1"/>
          <w:sz w:val="24"/>
          <w:szCs w:val="24"/>
        </w:rPr>
        <w:t>no âmbito deste RPPS</w:t>
      </w:r>
      <w:r w:rsidR="004937AB" w:rsidRPr="00741A93">
        <w:rPr>
          <w:rFonts w:ascii="Century Gothic" w:hAnsi="Century Gothic"/>
          <w:color w:val="000000" w:themeColor="text1"/>
          <w:sz w:val="24"/>
          <w:szCs w:val="24"/>
        </w:rPr>
        <w:t>.</w:t>
      </w:r>
    </w:p>
    <w:p w:rsidR="00267AB2" w:rsidRPr="00741A93" w:rsidRDefault="009A088E" w:rsidP="00267AB2">
      <w:pPr>
        <w:pStyle w:val="NormalWeb"/>
        <w:spacing w:line="360" w:lineRule="auto"/>
        <w:jc w:val="both"/>
        <w:rPr>
          <w:rFonts w:ascii="Century Gothic" w:hAnsi="Century Gothic"/>
          <w:color w:val="000000" w:themeColor="text1"/>
        </w:rPr>
      </w:pPr>
      <w:r w:rsidRPr="00741A93">
        <w:rPr>
          <w:rFonts w:ascii="Century Gothic" w:hAnsi="Century Gothic"/>
          <w:color w:val="000000" w:themeColor="text1"/>
        </w:rPr>
        <w:t xml:space="preserve">Por serem institutos que levam </w:t>
      </w:r>
      <w:r w:rsidR="006277D9" w:rsidRPr="00741A93">
        <w:rPr>
          <w:rFonts w:ascii="Century Gothic" w:hAnsi="Century Gothic"/>
          <w:color w:val="000000" w:themeColor="text1"/>
        </w:rPr>
        <w:t>os</w:t>
      </w:r>
      <w:r w:rsidRPr="00741A93">
        <w:rPr>
          <w:rFonts w:ascii="Century Gothic" w:hAnsi="Century Gothic"/>
          <w:color w:val="000000" w:themeColor="text1"/>
        </w:rPr>
        <w:t xml:space="preserve"> operadores </w:t>
      </w:r>
      <w:r w:rsidR="006277D9" w:rsidRPr="00741A93">
        <w:rPr>
          <w:rFonts w:ascii="Century Gothic" w:hAnsi="Century Gothic"/>
          <w:color w:val="000000" w:themeColor="text1"/>
        </w:rPr>
        <w:t xml:space="preserve">do Direito </w:t>
      </w:r>
      <w:proofErr w:type="gramStart"/>
      <w:r w:rsidRPr="00741A93">
        <w:rPr>
          <w:rFonts w:ascii="Century Gothic" w:hAnsi="Century Gothic"/>
          <w:color w:val="000000" w:themeColor="text1"/>
        </w:rPr>
        <w:t>à</w:t>
      </w:r>
      <w:proofErr w:type="gramEnd"/>
      <w:r w:rsidRPr="00741A93">
        <w:rPr>
          <w:rFonts w:ascii="Century Gothic" w:hAnsi="Century Gothic"/>
          <w:color w:val="000000" w:themeColor="text1"/>
        </w:rPr>
        <w:t xml:space="preserve"> certa </w:t>
      </w:r>
      <w:proofErr w:type="gramStart"/>
      <w:r w:rsidRPr="00741A93">
        <w:rPr>
          <w:rFonts w:ascii="Century Gothic" w:hAnsi="Century Gothic"/>
          <w:color w:val="000000" w:themeColor="text1"/>
        </w:rPr>
        <w:t>confusão</w:t>
      </w:r>
      <w:proofErr w:type="gramEnd"/>
      <w:r w:rsidRPr="00741A93">
        <w:rPr>
          <w:rFonts w:ascii="Century Gothic" w:hAnsi="Century Gothic"/>
          <w:color w:val="000000" w:themeColor="text1"/>
        </w:rPr>
        <w:t xml:space="preserve">, faremos </w:t>
      </w:r>
      <w:r w:rsidR="0068346A" w:rsidRPr="00741A93">
        <w:rPr>
          <w:rFonts w:ascii="Century Gothic" w:hAnsi="Century Gothic"/>
          <w:color w:val="000000" w:themeColor="text1"/>
        </w:rPr>
        <w:t>uma exposição d</w:t>
      </w:r>
      <w:r w:rsidRPr="00741A93">
        <w:rPr>
          <w:rFonts w:ascii="Century Gothic" w:hAnsi="Century Gothic"/>
          <w:color w:val="000000" w:themeColor="text1"/>
        </w:rPr>
        <w:t xml:space="preserve">a </w:t>
      </w:r>
      <w:r w:rsidR="0068346A" w:rsidRPr="00741A93">
        <w:rPr>
          <w:rFonts w:ascii="Century Gothic" w:hAnsi="Century Gothic"/>
          <w:color w:val="000000" w:themeColor="text1"/>
        </w:rPr>
        <w:t xml:space="preserve">sua </w:t>
      </w:r>
      <w:r w:rsidRPr="00741A93">
        <w:rPr>
          <w:rFonts w:ascii="Century Gothic" w:hAnsi="Century Gothic"/>
          <w:color w:val="000000" w:themeColor="text1"/>
        </w:rPr>
        <w:t>distinção</w:t>
      </w:r>
      <w:r w:rsidR="0068346A" w:rsidRPr="00741A93">
        <w:rPr>
          <w:rFonts w:ascii="Century Gothic" w:hAnsi="Century Gothic"/>
          <w:color w:val="000000" w:themeColor="text1"/>
        </w:rPr>
        <w:t>, isto é, conceituaremos</w:t>
      </w:r>
      <w:r w:rsidR="00267AB2" w:rsidRPr="00741A93">
        <w:rPr>
          <w:rFonts w:ascii="Century Gothic" w:hAnsi="Century Gothic"/>
          <w:color w:val="000000" w:themeColor="text1"/>
        </w:rPr>
        <w:t xml:space="preserve"> prescrição e decadência</w:t>
      </w:r>
      <w:r w:rsidRPr="00741A93">
        <w:rPr>
          <w:rFonts w:ascii="Century Gothic" w:hAnsi="Century Gothic"/>
          <w:color w:val="000000" w:themeColor="text1"/>
        </w:rPr>
        <w:t xml:space="preserve">, </w:t>
      </w:r>
      <w:r w:rsidR="0068346A" w:rsidRPr="00741A93">
        <w:rPr>
          <w:rFonts w:ascii="Century Gothic" w:hAnsi="Century Gothic"/>
          <w:color w:val="000000" w:themeColor="text1"/>
        </w:rPr>
        <w:t>na visão d</w:t>
      </w:r>
      <w:r w:rsidRPr="00741A93">
        <w:rPr>
          <w:rFonts w:ascii="Century Gothic" w:hAnsi="Century Gothic"/>
          <w:color w:val="000000" w:themeColor="text1"/>
        </w:rPr>
        <w:t>a doutrina civilista</w:t>
      </w:r>
      <w:r w:rsidR="00267AB2" w:rsidRPr="00741A93">
        <w:rPr>
          <w:rFonts w:ascii="Century Gothic" w:hAnsi="Century Gothic"/>
          <w:color w:val="000000" w:themeColor="text1"/>
        </w:rPr>
        <w:t>.</w:t>
      </w:r>
      <w:r w:rsidR="00267AB2" w:rsidRPr="00741A93">
        <w:rPr>
          <w:rFonts w:ascii="Century Gothic" w:hAnsi="Century Gothic"/>
          <w:color w:val="000000" w:themeColor="text1"/>
        </w:rPr>
        <w:br/>
      </w:r>
      <w:r w:rsidR="00267AB2" w:rsidRPr="00741A93">
        <w:rPr>
          <w:rFonts w:ascii="Century Gothic" w:hAnsi="Century Gothic"/>
          <w:color w:val="000000" w:themeColor="text1"/>
        </w:rPr>
        <w:br/>
        <w:t>Segundo Washington de Barros Monteiro:</w:t>
      </w:r>
    </w:p>
    <w:p w:rsidR="00267AB2" w:rsidRPr="00741A93" w:rsidRDefault="00267AB2" w:rsidP="00267AB2">
      <w:pPr>
        <w:pStyle w:val="NormalWeb"/>
        <w:spacing w:line="360" w:lineRule="auto"/>
        <w:ind w:left="708"/>
        <w:jc w:val="both"/>
        <w:rPr>
          <w:rFonts w:ascii="Century Gothic" w:hAnsi="Century Gothic"/>
          <w:color w:val="000000" w:themeColor="text1"/>
        </w:rPr>
      </w:pPr>
      <w:r w:rsidRPr="00741A93">
        <w:rPr>
          <w:rFonts w:ascii="Century Gothic" w:hAnsi="Century Gothic"/>
          <w:color w:val="000000" w:themeColor="text1"/>
        </w:rPr>
        <w:t xml:space="preserve"> “</w:t>
      </w:r>
      <w:r w:rsidRPr="00741A93">
        <w:rPr>
          <w:rFonts w:ascii="Century Gothic" w:hAnsi="Century Gothic"/>
          <w:i/>
          <w:color w:val="000000" w:themeColor="text1"/>
        </w:rPr>
        <w:t>prescrição é a perda da ação atribuída a um direito, e de toda a sua capacidade defensiva, em consequência do não uso dela, durante determinado espaço de tempo</w:t>
      </w:r>
      <w:r w:rsidRPr="00741A93">
        <w:rPr>
          <w:rFonts w:ascii="Century Gothic" w:hAnsi="Century Gothic"/>
          <w:color w:val="000000" w:themeColor="text1"/>
        </w:rPr>
        <w:t xml:space="preserve">”. </w:t>
      </w:r>
      <w:hyperlink r:id="rId6" w:anchor="01" w:history="1">
        <w:r w:rsidRPr="00741A93">
          <w:rPr>
            <w:rStyle w:val="Hyperlink"/>
            <w:rFonts w:ascii="Century Gothic" w:hAnsi="Century Gothic" w:cs="Arial"/>
            <w:b/>
            <w:bCs/>
            <w:color w:val="000000" w:themeColor="text1"/>
          </w:rPr>
          <w:t>(</w:t>
        </w:r>
        <w:r w:rsidRPr="00741A93">
          <w:rPr>
            <w:rStyle w:val="Forte"/>
            <w:rFonts w:ascii="Century Gothic" w:hAnsi="Century Gothic"/>
            <w:color w:val="000000" w:themeColor="text1"/>
          </w:rPr>
          <w:t>Curso de Direito Civil</w:t>
        </w:r>
        <w:r w:rsidRPr="00741A93">
          <w:rPr>
            <w:rStyle w:val="nfase"/>
            <w:rFonts w:ascii="Century Gothic" w:hAnsi="Century Gothic"/>
            <w:color w:val="000000" w:themeColor="text1"/>
          </w:rPr>
          <w:t>.</w:t>
        </w:r>
        <w:r w:rsidRPr="00741A93">
          <w:rPr>
            <w:rFonts w:ascii="Century Gothic" w:hAnsi="Century Gothic"/>
            <w:color w:val="000000" w:themeColor="text1"/>
          </w:rPr>
          <w:t xml:space="preserve"> v. 1. 16. ed. São Paulo: </w:t>
        </w:r>
        <w:proofErr w:type="gramStart"/>
        <w:r w:rsidRPr="00741A93">
          <w:rPr>
            <w:rFonts w:ascii="Century Gothic" w:hAnsi="Century Gothic"/>
            <w:color w:val="000000" w:themeColor="text1"/>
          </w:rPr>
          <w:t>Saraiva,</w:t>
        </w:r>
        <w:proofErr w:type="gramEnd"/>
        <w:r w:rsidRPr="00741A93">
          <w:rPr>
            <w:rFonts w:ascii="Century Gothic" w:hAnsi="Century Gothic"/>
            <w:color w:val="000000" w:themeColor="text1"/>
          </w:rPr>
          <w:t xml:space="preserve"> 1986. p. 286</w:t>
        </w:r>
        <w:r w:rsidRPr="00741A93">
          <w:rPr>
            <w:rStyle w:val="Hyperlink"/>
            <w:rFonts w:ascii="Century Gothic" w:hAnsi="Century Gothic" w:cs="Arial"/>
            <w:b/>
            <w:bCs/>
            <w:color w:val="000000" w:themeColor="text1"/>
          </w:rPr>
          <w:t>)</w:t>
        </w:r>
      </w:hyperlink>
    </w:p>
    <w:p w:rsidR="009A088E" w:rsidRPr="00741A93" w:rsidRDefault="00267AB2" w:rsidP="00267AB2">
      <w:pPr>
        <w:pStyle w:val="NormalWeb"/>
        <w:spacing w:line="360" w:lineRule="auto"/>
        <w:jc w:val="both"/>
        <w:rPr>
          <w:rFonts w:ascii="Century Gothic" w:hAnsi="Century Gothic"/>
          <w:color w:val="000000" w:themeColor="text1"/>
        </w:rPr>
      </w:pPr>
      <w:r w:rsidRPr="00741A93">
        <w:rPr>
          <w:rFonts w:ascii="Century Gothic" w:hAnsi="Century Gothic"/>
          <w:color w:val="000000" w:themeColor="text1"/>
        </w:rPr>
        <w:t>Já a decadência, segundo o mesmo autor</w:t>
      </w:r>
      <w:r w:rsidR="009A088E" w:rsidRPr="00741A93">
        <w:rPr>
          <w:rFonts w:ascii="Century Gothic" w:hAnsi="Century Gothic"/>
          <w:color w:val="000000" w:themeColor="text1"/>
        </w:rPr>
        <w:t>:</w:t>
      </w:r>
    </w:p>
    <w:p w:rsidR="00267AB2" w:rsidRPr="00741A93" w:rsidRDefault="00267AB2" w:rsidP="009A088E">
      <w:pPr>
        <w:pStyle w:val="NormalWeb"/>
        <w:spacing w:line="360" w:lineRule="auto"/>
        <w:ind w:left="708"/>
        <w:jc w:val="both"/>
        <w:rPr>
          <w:rFonts w:ascii="Century Gothic" w:hAnsi="Century Gothic"/>
          <w:i/>
          <w:color w:val="000000" w:themeColor="text1"/>
        </w:rPr>
      </w:pPr>
      <w:r w:rsidRPr="00741A93">
        <w:rPr>
          <w:rFonts w:ascii="Century Gothic" w:hAnsi="Century Gothic"/>
          <w:i/>
          <w:color w:val="000000" w:themeColor="text1"/>
        </w:rPr>
        <w:t>“o direito é outorgado para ser exercido em determinado prazo; se não exercido, extingue-se”. É dizer, “a prescrição atinge diretamente a ação e por via oblíqua faz desaparecer o direito por ela tutelado; a decadência, ao inverso, atinge diretamente o direito e por via oblíqua, ou reflexa, extingue a ação”.</w:t>
      </w:r>
    </w:p>
    <w:p w:rsidR="00060EA0" w:rsidRPr="00741A93" w:rsidRDefault="006277D9" w:rsidP="009A088E">
      <w:pPr>
        <w:pStyle w:val="NormalWeb"/>
        <w:shd w:val="clear" w:color="auto" w:fill="FFFFFF"/>
        <w:spacing w:before="0" w:beforeAutospacing="0" w:after="480" w:afterAutospacing="0" w:line="360" w:lineRule="auto"/>
        <w:jc w:val="both"/>
        <w:rPr>
          <w:rFonts w:ascii="Century Gothic" w:hAnsi="Century Gothic"/>
          <w:color w:val="000000" w:themeColor="text1"/>
          <w:spacing w:val="2"/>
        </w:rPr>
      </w:pPr>
      <w:r w:rsidRPr="00741A93">
        <w:rPr>
          <w:rFonts w:ascii="Century Gothic" w:hAnsi="Century Gothic"/>
          <w:color w:val="000000" w:themeColor="text1"/>
          <w:spacing w:val="2"/>
        </w:rPr>
        <w:lastRenderedPageBreak/>
        <w:t>S</w:t>
      </w:r>
      <w:r w:rsidR="00060EA0" w:rsidRPr="00741A93">
        <w:rPr>
          <w:rFonts w:ascii="Century Gothic" w:hAnsi="Century Gothic"/>
          <w:color w:val="000000" w:themeColor="text1"/>
          <w:spacing w:val="2"/>
        </w:rPr>
        <w:t xml:space="preserve">eguindo uma definição </w:t>
      </w:r>
      <w:r w:rsidR="0068346A" w:rsidRPr="00741A93">
        <w:rPr>
          <w:rFonts w:ascii="Century Gothic" w:hAnsi="Century Gothic"/>
          <w:color w:val="000000" w:themeColor="text1"/>
          <w:spacing w:val="2"/>
        </w:rPr>
        <w:t xml:space="preserve">doutrinária </w:t>
      </w:r>
      <w:r w:rsidR="00060EA0" w:rsidRPr="00741A93">
        <w:rPr>
          <w:rFonts w:ascii="Century Gothic" w:hAnsi="Century Gothic"/>
          <w:color w:val="000000" w:themeColor="text1"/>
          <w:spacing w:val="2"/>
        </w:rPr>
        <w:t>mais moderna</w:t>
      </w:r>
      <w:r w:rsidR="009A088E" w:rsidRPr="00741A93">
        <w:rPr>
          <w:rFonts w:ascii="Century Gothic" w:hAnsi="Century Gothic"/>
          <w:color w:val="000000" w:themeColor="text1"/>
          <w:spacing w:val="2"/>
        </w:rPr>
        <w:t xml:space="preserve">, </w:t>
      </w:r>
      <w:r w:rsidR="00060EA0" w:rsidRPr="00741A93">
        <w:rPr>
          <w:rFonts w:ascii="Century Gothic" w:hAnsi="Century Gothic"/>
          <w:color w:val="000000" w:themeColor="text1"/>
          <w:spacing w:val="2"/>
        </w:rPr>
        <w:t>podemos definir a</w:t>
      </w:r>
      <w:r w:rsidR="0068346A" w:rsidRPr="00741A93">
        <w:rPr>
          <w:rFonts w:ascii="Century Gothic" w:hAnsi="Century Gothic"/>
          <w:color w:val="000000" w:themeColor="text1"/>
          <w:spacing w:val="2"/>
        </w:rPr>
        <w:t>inda a</w:t>
      </w:r>
      <w:r w:rsidR="00060EA0" w:rsidRPr="00741A93">
        <w:rPr>
          <w:rFonts w:ascii="Century Gothic" w:hAnsi="Century Gothic"/>
          <w:color w:val="000000" w:themeColor="text1"/>
          <w:spacing w:val="2"/>
        </w:rPr>
        <w:t xml:space="preserve"> prescrição como sendo </w:t>
      </w:r>
      <w:r w:rsidR="009A088E" w:rsidRPr="00741A93">
        <w:rPr>
          <w:rFonts w:ascii="Century Gothic" w:hAnsi="Century Gothic"/>
          <w:color w:val="000000" w:themeColor="text1"/>
          <w:spacing w:val="2"/>
        </w:rPr>
        <w:t xml:space="preserve">a perda da pretensão. Perda da pretensão de pleitear uma ação ou reivindicar algo por meio dela e exigir determinado comportamento de alguém. Esse direito foi perdido em virtude </w:t>
      </w:r>
      <w:r w:rsidR="00060EA0" w:rsidRPr="00741A93">
        <w:rPr>
          <w:rFonts w:ascii="Century Gothic" w:hAnsi="Century Gothic"/>
          <w:color w:val="000000" w:themeColor="text1"/>
          <w:spacing w:val="2"/>
        </w:rPr>
        <w:t>da não exigência</w:t>
      </w:r>
      <w:r w:rsidR="009A088E" w:rsidRPr="00741A93">
        <w:rPr>
          <w:rFonts w:ascii="Century Gothic" w:hAnsi="Century Gothic"/>
          <w:color w:val="000000" w:themeColor="text1"/>
          <w:spacing w:val="2"/>
        </w:rPr>
        <w:t xml:space="preserve"> pelo seu titular. </w:t>
      </w:r>
    </w:p>
    <w:p w:rsidR="009A088E" w:rsidRPr="00741A93" w:rsidRDefault="006277D9" w:rsidP="009A088E">
      <w:pPr>
        <w:pStyle w:val="NormalWeb"/>
        <w:shd w:val="clear" w:color="auto" w:fill="FFFFFF"/>
        <w:spacing w:before="0" w:beforeAutospacing="0" w:after="480" w:afterAutospacing="0" w:line="360" w:lineRule="auto"/>
        <w:jc w:val="both"/>
        <w:rPr>
          <w:rFonts w:ascii="Century Gothic" w:hAnsi="Century Gothic"/>
          <w:color w:val="000000" w:themeColor="text1"/>
          <w:spacing w:val="2"/>
        </w:rPr>
      </w:pPr>
      <w:r w:rsidRPr="00741A93">
        <w:rPr>
          <w:rFonts w:ascii="Century Gothic" w:hAnsi="Century Gothic"/>
          <w:color w:val="000000" w:themeColor="text1"/>
          <w:spacing w:val="2"/>
        </w:rPr>
        <w:t>Já,</w:t>
      </w:r>
      <w:r w:rsidR="0068346A" w:rsidRPr="00741A93">
        <w:rPr>
          <w:rFonts w:ascii="Century Gothic" w:hAnsi="Century Gothic"/>
          <w:color w:val="000000" w:themeColor="text1"/>
          <w:spacing w:val="2"/>
        </w:rPr>
        <w:t xml:space="preserve"> a decadência</w:t>
      </w:r>
      <w:r w:rsidR="009A088E" w:rsidRPr="00741A93">
        <w:rPr>
          <w:rFonts w:ascii="Century Gothic" w:hAnsi="Century Gothic"/>
          <w:color w:val="000000" w:themeColor="text1"/>
          <w:spacing w:val="2"/>
        </w:rPr>
        <w:t xml:space="preserve"> é a perda do próprio direito por que este não foi exercitado dentro d</w:t>
      </w:r>
      <w:r w:rsidR="0068346A" w:rsidRPr="00741A93">
        <w:rPr>
          <w:rFonts w:ascii="Century Gothic" w:hAnsi="Century Gothic"/>
          <w:color w:val="000000" w:themeColor="text1"/>
          <w:spacing w:val="2"/>
        </w:rPr>
        <w:t>e certo</w:t>
      </w:r>
      <w:r w:rsidR="009A088E" w:rsidRPr="00741A93">
        <w:rPr>
          <w:rFonts w:ascii="Century Gothic" w:hAnsi="Century Gothic"/>
          <w:color w:val="000000" w:themeColor="text1"/>
          <w:spacing w:val="2"/>
        </w:rPr>
        <w:t xml:space="preserve"> período de tempo razoável.</w:t>
      </w:r>
    </w:p>
    <w:p w:rsidR="009A088E" w:rsidRPr="00741A93" w:rsidRDefault="009A088E" w:rsidP="009A088E">
      <w:pPr>
        <w:pStyle w:val="NormalWeb"/>
        <w:shd w:val="clear" w:color="auto" w:fill="FFFFFF"/>
        <w:spacing w:before="0" w:beforeAutospacing="0" w:after="480" w:afterAutospacing="0" w:line="360" w:lineRule="auto"/>
        <w:jc w:val="both"/>
        <w:rPr>
          <w:rFonts w:ascii="Century Gothic" w:hAnsi="Century Gothic"/>
          <w:color w:val="000000" w:themeColor="text1"/>
          <w:spacing w:val="2"/>
        </w:rPr>
      </w:pPr>
      <w:r w:rsidRPr="00741A93">
        <w:rPr>
          <w:rFonts w:ascii="Century Gothic" w:hAnsi="Century Gothic"/>
          <w:color w:val="000000" w:themeColor="text1"/>
          <w:spacing w:val="2"/>
        </w:rPr>
        <w:t xml:space="preserve">A classificação das ações ajuda </w:t>
      </w:r>
      <w:proofErr w:type="gramStart"/>
      <w:r w:rsidRPr="00741A93">
        <w:rPr>
          <w:rFonts w:ascii="Century Gothic" w:hAnsi="Century Gothic"/>
          <w:color w:val="000000" w:themeColor="text1"/>
          <w:spacing w:val="2"/>
        </w:rPr>
        <w:t>a</w:t>
      </w:r>
      <w:proofErr w:type="gramEnd"/>
      <w:r w:rsidRPr="00741A93">
        <w:rPr>
          <w:rFonts w:ascii="Century Gothic" w:hAnsi="Century Gothic"/>
          <w:color w:val="000000" w:themeColor="text1"/>
          <w:spacing w:val="2"/>
        </w:rPr>
        <w:t xml:space="preserve"> desenvolver um pouco o tema, sobretudo no que trata o objeto da prescrição e decadência. Os tipos de ações são elencados como: condenatórias, constitutivas e meramente declaratórias. As ações ditas condenatórias objetivam obter determinada prestação do réu. As constitutivas buscam a criação e/ou modificação/extinção de estado jurídico atual ou anteriormente existente. As meramente declaratórias buscam conseguir uma certeza jurídica.</w:t>
      </w:r>
    </w:p>
    <w:p w:rsidR="009A088E" w:rsidRPr="00741A93" w:rsidRDefault="009A088E" w:rsidP="009A088E">
      <w:pPr>
        <w:pStyle w:val="NormalWeb"/>
        <w:shd w:val="clear" w:color="auto" w:fill="FFFFFF"/>
        <w:spacing w:before="0" w:beforeAutospacing="0" w:after="480" w:afterAutospacing="0" w:line="360" w:lineRule="auto"/>
        <w:jc w:val="both"/>
        <w:rPr>
          <w:rFonts w:ascii="Century Gothic" w:hAnsi="Century Gothic"/>
          <w:color w:val="000000" w:themeColor="text1"/>
          <w:spacing w:val="2"/>
        </w:rPr>
      </w:pPr>
      <w:r w:rsidRPr="00741A93">
        <w:rPr>
          <w:rFonts w:ascii="Century Gothic" w:hAnsi="Century Gothic"/>
          <w:color w:val="000000" w:themeColor="text1"/>
          <w:spacing w:val="2"/>
        </w:rPr>
        <w:t>A prescrição é a extinção da pretensão à prestação devida – direito este que continua existindo na relação jurídica de direito material – em função do descumprimento (que gerou a ação), esta somente pode ser aplicada às ações condenatórias.</w:t>
      </w:r>
    </w:p>
    <w:p w:rsidR="009A088E" w:rsidRPr="00741A93" w:rsidRDefault="009A088E" w:rsidP="009A088E">
      <w:pPr>
        <w:pStyle w:val="NormalWeb"/>
        <w:shd w:val="clear" w:color="auto" w:fill="FFFFFF"/>
        <w:spacing w:before="0" w:beforeAutospacing="0" w:after="480" w:afterAutospacing="0" w:line="360" w:lineRule="auto"/>
        <w:jc w:val="both"/>
        <w:rPr>
          <w:rFonts w:ascii="Century Gothic" w:hAnsi="Century Gothic"/>
          <w:color w:val="000000" w:themeColor="text1"/>
          <w:spacing w:val="2"/>
        </w:rPr>
      </w:pPr>
      <w:r w:rsidRPr="00741A93">
        <w:rPr>
          <w:rFonts w:ascii="Century Gothic" w:hAnsi="Century Gothic"/>
          <w:color w:val="000000" w:themeColor="text1"/>
          <w:spacing w:val="2"/>
        </w:rPr>
        <w:t xml:space="preserve">A decadência, como se refere </w:t>
      </w:r>
      <w:proofErr w:type="gramStart"/>
      <w:r w:rsidRPr="00741A93">
        <w:rPr>
          <w:rFonts w:ascii="Century Gothic" w:hAnsi="Century Gothic"/>
          <w:color w:val="000000" w:themeColor="text1"/>
          <w:spacing w:val="2"/>
        </w:rPr>
        <w:t>a</w:t>
      </w:r>
      <w:proofErr w:type="gramEnd"/>
      <w:r w:rsidRPr="00741A93">
        <w:rPr>
          <w:rFonts w:ascii="Century Gothic" w:hAnsi="Century Gothic"/>
          <w:color w:val="000000" w:themeColor="text1"/>
          <w:spacing w:val="2"/>
        </w:rPr>
        <w:t xml:space="preserve"> perda efetiva de um direito, pelo seu não exercício no prazo estipulado, somente pode ser relacionada aos direitos </w:t>
      </w:r>
      <w:proofErr w:type="spellStart"/>
      <w:r w:rsidRPr="00741A93">
        <w:rPr>
          <w:rFonts w:ascii="Century Gothic" w:hAnsi="Century Gothic"/>
          <w:color w:val="000000" w:themeColor="text1"/>
          <w:spacing w:val="2"/>
        </w:rPr>
        <w:t>potestativos</w:t>
      </w:r>
      <w:proofErr w:type="spellEnd"/>
      <w:r w:rsidRPr="00741A93">
        <w:rPr>
          <w:rFonts w:ascii="Century Gothic" w:hAnsi="Century Gothic"/>
          <w:color w:val="000000" w:themeColor="text1"/>
          <w:spacing w:val="2"/>
        </w:rPr>
        <w:t>, que exijam uma manifestação judicial. Tal manifestação, por ser elemento de formação do próprio exercício do direito, somente pode-se dar, portanto, por ações constitutivas.</w:t>
      </w:r>
    </w:p>
    <w:p w:rsidR="009A088E" w:rsidRPr="00741A93" w:rsidRDefault="0068346A" w:rsidP="009A088E">
      <w:pPr>
        <w:pStyle w:val="NormalWeb"/>
        <w:shd w:val="clear" w:color="auto" w:fill="FFFFFF"/>
        <w:spacing w:before="0" w:beforeAutospacing="0" w:after="480" w:afterAutospacing="0" w:line="360" w:lineRule="auto"/>
        <w:jc w:val="both"/>
        <w:rPr>
          <w:rFonts w:ascii="Century Gothic" w:hAnsi="Century Gothic"/>
          <w:color w:val="000000" w:themeColor="text1"/>
          <w:shd w:val="clear" w:color="auto" w:fill="FFFFFF"/>
        </w:rPr>
      </w:pPr>
      <w:r w:rsidRPr="00741A93">
        <w:rPr>
          <w:rFonts w:ascii="Century Gothic" w:hAnsi="Century Gothic"/>
          <w:color w:val="000000" w:themeColor="text1"/>
          <w:shd w:val="clear" w:color="auto" w:fill="FFFFFF"/>
        </w:rPr>
        <w:t>O pedido</w:t>
      </w:r>
      <w:r w:rsidR="009A088E" w:rsidRPr="00741A93">
        <w:rPr>
          <w:rFonts w:ascii="Century Gothic" w:hAnsi="Century Gothic"/>
          <w:color w:val="000000" w:themeColor="text1"/>
          <w:shd w:val="clear" w:color="auto" w:fill="FFFFFF"/>
        </w:rPr>
        <w:t xml:space="preserve"> de revisão d</w:t>
      </w:r>
      <w:r w:rsidRPr="00741A93">
        <w:rPr>
          <w:rFonts w:ascii="Century Gothic" w:hAnsi="Century Gothic"/>
          <w:color w:val="000000" w:themeColor="text1"/>
          <w:shd w:val="clear" w:color="auto" w:fill="FFFFFF"/>
        </w:rPr>
        <w:t>e uma</w:t>
      </w:r>
      <w:r w:rsidR="009A088E" w:rsidRPr="00741A93">
        <w:rPr>
          <w:rFonts w:ascii="Century Gothic" w:hAnsi="Century Gothic"/>
          <w:color w:val="000000" w:themeColor="text1"/>
          <w:shd w:val="clear" w:color="auto" w:fill="FFFFFF"/>
        </w:rPr>
        <w:t xml:space="preserve"> aposentadoria</w:t>
      </w:r>
      <w:r w:rsidRPr="00741A93">
        <w:rPr>
          <w:rFonts w:ascii="Century Gothic" w:hAnsi="Century Gothic"/>
          <w:color w:val="000000" w:themeColor="text1"/>
          <w:shd w:val="clear" w:color="auto" w:fill="FFFFFF"/>
        </w:rPr>
        <w:t xml:space="preserve"> ou de uma pensão por </w:t>
      </w:r>
      <w:proofErr w:type="gramStart"/>
      <w:r w:rsidRPr="00741A93">
        <w:rPr>
          <w:rFonts w:ascii="Century Gothic" w:hAnsi="Century Gothic"/>
          <w:color w:val="000000" w:themeColor="text1"/>
          <w:shd w:val="clear" w:color="auto" w:fill="FFFFFF"/>
        </w:rPr>
        <w:t>morte pleiteado</w:t>
      </w:r>
      <w:proofErr w:type="gramEnd"/>
      <w:r w:rsidRPr="00741A93">
        <w:rPr>
          <w:rFonts w:ascii="Century Gothic" w:hAnsi="Century Gothic"/>
          <w:color w:val="000000" w:themeColor="text1"/>
          <w:shd w:val="clear" w:color="auto" w:fill="FFFFFF"/>
        </w:rPr>
        <w:t xml:space="preserve"> pelo titular de um benefício previdenciário</w:t>
      </w:r>
      <w:r w:rsidR="009A088E" w:rsidRPr="00741A93">
        <w:rPr>
          <w:rFonts w:ascii="Century Gothic" w:hAnsi="Century Gothic"/>
          <w:color w:val="000000" w:themeColor="text1"/>
          <w:shd w:val="clear" w:color="auto" w:fill="FFFFFF"/>
        </w:rPr>
        <w:t xml:space="preserve"> tem como </w:t>
      </w:r>
      <w:r w:rsidR="009A088E" w:rsidRPr="00741A93">
        <w:rPr>
          <w:rFonts w:ascii="Century Gothic" w:hAnsi="Century Gothic"/>
          <w:color w:val="000000" w:themeColor="text1"/>
          <w:shd w:val="clear" w:color="auto" w:fill="FFFFFF"/>
        </w:rPr>
        <w:lastRenderedPageBreak/>
        <w:t xml:space="preserve">objetivo obrigar a Administração Pública a </w:t>
      </w:r>
      <w:r w:rsidRPr="00741A93">
        <w:rPr>
          <w:rFonts w:ascii="Century Gothic" w:hAnsi="Century Gothic"/>
          <w:color w:val="000000" w:themeColor="text1"/>
          <w:shd w:val="clear" w:color="auto" w:fill="FFFFFF"/>
        </w:rPr>
        <w:t>processar a revisão na forma da concessão daquele ato já praticado e, por consequência, a efetuar o pagamento de</w:t>
      </w:r>
      <w:r w:rsidR="009A088E" w:rsidRPr="00741A93">
        <w:rPr>
          <w:rFonts w:ascii="Century Gothic" w:hAnsi="Century Gothic"/>
          <w:color w:val="000000" w:themeColor="text1"/>
          <w:shd w:val="clear" w:color="auto" w:fill="FFFFFF"/>
        </w:rPr>
        <w:t xml:space="preserve"> parcelas pretéritas. Logo, veicula uma obrigação de fazer e de pagar. O que se está em jogo, portanto, é um direito subjetivo do aposentado</w:t>
      </w:r>
      <w:r w:rsidRPr="00741A93">
        <w:rPr>
          <w:rFonts w:ascii="Century Gothic" w:hAnsi="Century Gothic"/>
          <w:color w:val="000000" w:themeColor="text1"/>
          <w:shd w:val="clear" w:color="auto" w:fill="FFFFFF"/>
        </w:rPr>
        <w:t xml:space="preserve"> ou do pensionista</w:t>
      </w:r>
      <w:r w:rsidR="009A088E" w:rsidRPr="00741A93">
        <w:rPr>
          <w:rFonts w:ascii="Century Gothic" w:hAnsi="Century Gothic"/>
          <w:color w:val="000000" w:themeColor="text1"/>
          <w:shd w:val="clear" w:color="auto" w:fill="FFFFFF"/>
        </w:rPr>
        <w:t xml:space="preserve">, que para ser </w:t>
      </w:r>
      <w:proofErr w:type="gramStart"/>
      <w:r w:rsidR="009A088E" w:rsidRPr="00741A93">
        <w:rPr>
          <w:rFonts w:ascii="Century Gothic" w:hAnsi="Century Gothic"/>
          <w:color w:val="000000" w:themeColor="text1"/>
          <w:shd w:val="clear" w:color="auto" w:fill="FFFFFF"/>
        </w:rPr>
        <w:t>concretizado precisa da atuação de devedor em favor do credor</w:t>
      </w:r>
      <w:proofErr w:type="gramEnd"/>
      <w:r w:rsidR="009A088E" w:rsidRPr="00741A93">
        <w:rPr>
          <w:rFonts w:ascii="Century Gothic" w:hAnsi="Century Gothic"/>
          <w:color w:val="000000" w:themeColor="text1"/>
          <w:shd w:val="clear" w:color="auto" w:fill="FFFFFF"/>
        </w:rPr>
        <w:t>.</w:t>
      </w:r>
    </w:p>
    <w:p w:rsidR="006277D9" w:rsidRPr="00741A93" w:rsidRDefault="0068346A"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Embora seja um direito subjetivo do beneficiário a revisão da aposentadoria ou da pensão por morte, n</w:t>
      </w:r>
      <w:r w:rsidR="006277D9" w:rsidRPr="00741A93">
        <w:rPr>
          <w:rFonts w:ascii="Century Gothic" w:hAnsi="Century Gothic" w:cs="Tahoma"/>
          <w:color w:val="000000" w:themeColor="text1"/>
          <w:spacing w:val="5"/>
        </w:rPr>
        <w:t xml:space="preserve">ão podemos </w:t>
      </w:r>
      <w:r w:rsidRPr="00741A93">
        <w:rPr>
          <w:rFonts w:ascii="Century Gothic" w:hAnsi="Century Gothic" w:cs="Tahoma"/>
          <w:color w:val="000000" w:themeColor="text1"/>
          <w:spacing w:val="5"/>
        </w:rPr>
        <w:t xml:space="preserve">fazer letra morta do </w:t>
      </w:r>
      <w:r w:rsidR="006277D9" w:rsidRPr="00741A93">
        <w:rPr>
          <w:rFonts w:ascii="Century Gothic" w:hAnsi="Century Gothic" w:cs="Tahoma"/>
          <w:color w:val="000000" w:themeColor="text1"/>
          <w:spacing w:val="5"/>
        </w:rPr>
        <w:t>princípio da segurança jurídica</w:t>
      </w:r>
      <w:r w:rsidRPr="00741A93">
        <w:rPr>
          <w:rFonts w:ascii="Century Gothic" w:hAnsi="Century Gothic" w:cs="Tahoma"/>
          <w:color w:val="000000" w:themeColor="text1"/>
          <w:spacing w:val="5"/>
        </w:rPr>
        <w:t>, q</w:t>
      </w:r>
      <w:r w:rsidR="000C15C8" w:rsidRPr="00741A93">
        <w:rPr>
          <w:rFonts w:ascii="Century Gothic" w:hAnsi="Century Gothic" w:cs="Tahoma"/>
          <w:color w:val="000000" w:themeColor="text1"/>
          <w:spacing w:val="5"/>
        </w:rPr>
        <w:t xml:space="preserve">ue </w:t>
      </w:r>
      <w:r w:rsidR="006277D9" w:rsidRPr="00741A93">
        <w:rPr>
          <w:rFonts w:ascii="Century Gothic" w:hAnsi="Century Gothic" w:cs="Tahoma"/>
          <w:color w:val="000000" w:themeColor="text1"/>
          <w:spacing w:val="5"/>
        </w:rPr>
        <w:t xml:space="preserve">tem </w:t>
      </w:r>
      <w:r w:rsidR="000C15C8" w:rsidRPr="00741A93">
        <w:rPr>
          <w:rFonts w:ascii="Century Gothic" w:hAnsi="Century Gothic" w:cs="Tahoma"/>
          <w:color w:val="000000" w:themeColor="text1"/>
          <w:spacing w:val="5"/>
        </w:rPr>
        <w:t>por</w:t>
      </w:r>
      <w:r w:rsidR="006277D9" w:rsidRPr="00741A93">
        <w:rPr>
          <w:rFonts w:ascii="Century Gothic" w:hAnsi="Century Gothic" w:cs="Tahoma"/>
          <w:color w:val="000000" w:themeColor="text1"/>
          <w:spacing w:val="5"/>
        </w:rPr>
        <w:t xml:space="preserve"> finalidade garantir a estabilidade das relações jurídicas. Trata-se de princípio fundamental, que se manifesta através de diversos dispositivos da Carta Magna.</w:t>
      </w:r>
    </w:p>
    <w:p w:rsidR="00F0021B" w:rsidRPr="00741A93" w:rsidRDefault="00F0021B"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É o</w:t>
      </w:r>
      <w:r w:rsidR="006277D9" w:rsidRPr="00741A93">
        <w:rPr>
          <w:rFonts w:ascii="Century Gothic" w:hAnsi="Century Gothic" w:cs="Tahoma"/>
          <w:color w:val="000000" w:themeColor="text1"/>
          <w:spacing w:val="5"/>
        </w:rPr>
        <w:t xml:space="preserve"> princípio </w:t>
      </w:r>
      <w:r w:rsidRPr="00741A93">
        <w:rPr>
          <w:rFonts w:ascii="Century Gothic" w:hAnsi="Century Gothic" w:cs="Tahoma"/>
          <w:color w:val="000000" w:themeColor="text1"/>
          <w:spacing w:val="5"/>
        </w:rPr>
        <w:t>que justifica a criação de prazos prescricionais e decadenciais.</w:t>
      </w:r>
    </w:p>
    <w:p w:rsidR="006277D9" w:rsidRPr="00741A93" w:rsidRDefault="00F0021B"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No caso da prescrição, estipula-se</w:t>
      </w:r>
      <w:r w:rsidR="006277D9" w:rsidRPr="00741A93">
        <w:rPr>
          <w:rFonts w:ascii="Century Gothic" w:hAnsi="Century Gothic" w:cs="Tahoma"/>
          <w:color w:val="000000" w:themeColor="text1"/>
          <w:spacing w:val="5"/>
        </w:rPr>
        <w:t xml:space="preserve"> um prazo para o exercício de um direito de prestação. Assim, a prescrição extingue a pretensão ao adimplemento de um direito de prestação violado. O direito a uma prestação é justamente um poder de exigir de outrem o cumprimento de uma prestação, seja de dar, fazer ou deixar de fazer. Sempre que o direito confere a alguém o poder de exigir de outrem o cumprimento de uma prestação, está conferindo a esse sujeito a uma prestação.</w:t>
      </w:r>
    </w:p>
    <w:p w:rsidR="006277D9" w:rsidRPr="00741A93" w:rsidRDefault="006277D9"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O Colendo Superior Tribunal de Justiça, no voto prolatado pelo ministro Ruy Rosado, esclareceu, de maneira cristalina, a diferença entre os institutos da prescrição e da decadência:</w:t>
      </w:r>
    </w:p>
    <w:p w:rsidR="006277D9" w:rsidRPr="00741A93" w:rsidRDefault="006277D9" w:rsidP="00F0021B">
      <w:pPr>
        <w:pStyle w:val="NormalWeb"/>
        <w:shd w:val="clear" w:color="auto" w:fill="FFFFFF"/>
        <w:spacing w:line="360" w:lineRule="auto"/>
        <w:ind w:left="708"/>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w:t>
      </w:r>
      <w:proofErr w:type="gramStart"/>
      <w:r w:rsidRPr="00741A93">
        <w:rPr>
          <w:rStyle w:val="nfase"/>
          <w:rFonts w:ascii="Century Gothic" w:hAnsi="Century Gothic" w:cs="Tahoma"/>
          <w:color w:val="000000" w:themeColor="text1"/>
          <w:spacing w:val="5"/>
        </w:rPr>
        <w:t>)a</w:t>
      </w:r>
      <w:proofErr w:type="gramEnd"/>
      <w:r w:rsidRPr="00741A93">
        <w:rPr>
          <w:rStyle w:val="nfase"/>
          <w:rFonts w:ascii="Century Gothic" w:hAnsi="Century Gothic" w:cs="Tahoma"/>
          <w:color w:val="000000" w:themeColor="text1"/>
          <w:spacing w:val="5"/>
        </w:rPr>
        <w:t xml:space="preserve"> diferença entre uma e outra dessas figuras (</w:t>
      </w:r>
      <w:proofErr w:type="spellStart"/>
      <w:r w:rsidRPr="00741A93">
        <w:rPr>
          <w:rStyle w:val="nfase"/>
          <w:rFonts w:ascii="Century Gothic" w:hAnsi="Century Gothic" w:cs="Tahoma"/>
          <w:color w:val="000000" w:themeColor="text1"/>
          <w:spacing w:val="5"/>
        </w:rPr>
        <w:t>arts</w:t>
      </w:r>
      <w:proofErr w:type="spellEnd"/>
      <w:r w:rsidRPr="00741A93">
        <w:rPr>
          <w:rStyle w:val="nfase"/>
          <w:rFonts w:ascii="Century Gothic" w:hAnsi="Century Gothic" w:cs="Tahoma"/>
          <w:color w:val="000000" w:themeColor="text1"/>
          <w:spacing w:val="5"/>
        </w:rPr>
        <w:t xml:space="preserve">. 26 e 27), para o que nos interessa, deve ser feita a partir da distinção entre direito subjetivo propriamente dito (Direito formado, </w:t>
      </w:r>
      <w:r w:rsidRPr="00741A93">
        <w:rPr>
          <w:rStyle w:val="nfase"/>
          <w:rFonts w:ascii="Century Gothic" w:hAnsi="Century Gothic" w:cs="Tahoma"/>
          <w:color w:val="000000" w:themeColor="text1"/>
          <w:spacing w:val="5"/>
        </w:rPr>
        <w:lastRenderedPageBreak/>
        <w:t xml:space="preserve">fundamental ou bastante em si), que contém poderes sobre bens da vida, permite ao seu titular dispor sobre eles, de acordo com a sua vontade e nos limites da lei, e está armado de pretensão dirigida contam quem se encontra no polo passivo da relação (devedor), para que efetue a prestação a que está obrigado (ex.: direito de propriedade, direito de crédito), e direito formativo (dito de configuração ou </w:t>
      </w:r>
      <w:proofErr w:type="spellStart"/>
      <w:r w:rsidRPr="00741A93">
        <w:rPr>
          <w:rStyle w:val="nfase"/>
          <w:rFonts w:ascii="Century Gothic" w:hAnsi="Century Gothic" w:cs="Tahoma"/>
          <w:color w:val="000000" w:themeColor="text1"/>
          <w:spacing w:val="5"/>
        </w:rPr>
        <w:t>potestativo</w:t>
      </w:r>
      <w:proofErr w:type="spellEnd"/>
      <w:r w:rsidRPr="00741A93">
        <w:rPr>
          <w:rStyle w:val="nfase"/>
          <w:rFonts w:ascii="Century Gothic" w:hAnsi="Century Gothic" w:cs="Tahoma"/>
          <w:color w:val="000000" w:themeColor="text1"/>
          <w:spacing w:val="5"/>
        </w:rPr>
        <w:t xml:space="preserve">), que atribui ao seu titular, por ato unilateral, formar relação jurídica concreta, a cuja atividade a outra parte simplesmente se sujeita. Esse direito formativo é desarmado de pretensão, pois o seu titular não exige da contraparte que venha efetuar alguma prestação decorrente exclusivamente do direito formativo. Apenas exerce diante dela o seu direito de configurar uma relação. O efeito do tempo sobre os direitos armados de pretensão atingem a pretensão, encobrindo-a, e a isso se chama de prescrição. Os direitos formativos, porque não tem pretensão, são afetados diretamente pelo tempo e extinguem-se: é a decadência(...)”.( STJ, </w:t>
      </w:r>
      <w:proofErr w:type="spellStart"/>
      <w:r w:rsidRPr="00741A93">
        <w:rPr>
          <w:rStyle w:val="nfase"/>
          <w:rFonts w:ascii="Century Gothic" w:hAnsi="Century Gothic" w:cs="Tahoma"/>
          <w:color w:val="000000" w:themeColor="text1"/>
          <w:spacing w:val="5"/>
        </w:rPr>
        <w:t>Resp</w:t>
      </w:r>
      <w:proofErr w:type="spellEnd"/>
      <w:r w:rsidRPr="00741A93">
        <w:rPr>
          <w:rStyle w:val="nfase"/>
          <w:rFonts w:ascii="Century Gothic" w:hAnsi="Century Gothic" w:cs="Tahoma"/>
          <w:color w:val="000000" w:themeColor="text1"/>
          <w:spacing w:val="5"/>
        </w:rPr>
        <w:t xml:space="preserve"> 100710/SP, relator Min. Ruy Rosado de Aguiar, DJ 03/02/2007)</w:t>
      </w:r>
    </w:p>
    <w:p w:rsidR="006277D9" w:rsidRPr="00741A93" w:rsidRDefault="0068346A"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O </w:t>
      </w:r>
      <w:r w:rsidR="006277D9" w:rsidRPr="00741A93">
        <w:rPr>
          <w:rFonts w:ascii="Century Gothic" w:hAnsi="Century Gothic" w:cs="Tahoma"/>
          <w:color w:val="000000" w:themeColor="text1"/>
          <w:spacing w:val="5"/>
        </w:rPr>
        <w:t xml:space="preserve">instituto da prescrição </w:t>
      </w:r>
      <w:r w:rsidRPr="00741A93">
        <w:rPr>
          <w:rFonts w:ascii="Century Gothic" w:hAnsi="Century Gothic" w:cs="Tahoma"/>
          <w:color w:val="000000" w:themeColor="text1"/>
          <w:spacing w:val="5"/>
        </w:rPr>
        <w:t>é totalmente aplicável ao ato de revisão de aposentadoria ou de pensão por morte.</w:t>
      </w:r>
    </w:p>
    <w:p w:rsidR="00F0021B" w:rsidRPr="00741A93" w:rsidRDefault="00874DB0"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Em relação à revisão de benefícios previdenciários, outra matéria de muita discussão é </w:t>
      </w:r>
      <w:r w:rsidR="006277D9" w:rsidRPr="00741A93">
        <w:rPr>
          <w:rFonts w:ascii="Century Gothic" w:hAnsi="Century Gothic" w:cs="Tahoma"/>
          <w:color w:val="000000" w:themeColor="text1"/>
          <w:spacing w:val="5"/>
        </w:rPr>
        <w:t xml:space="preserve">a diferença da prescrição da ação, também denominada de prescrição do fundo de direito, e a prescrição das prestações. </w:t>
      </w:r>
    </w:p>
    <w:p w:rsidR="00F0021B" w:rsidRPr="00741A93" w:rsidRDefault="00F0021B"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A</w:t>
      </w:r>
      <w:r w:rsidR="006277D9" w:rsidRPr="00741A93">
        <w:rPr>
          <w:rFonts w:ascii="Century Gothic" w:hAnsi="Century Gothic" w:cs="Tahoma"/>
          <w:color w:val="000000" w:themeColor="text1"/>
          <w:spacing w:val="5"/>
        </w:rPr>
        <w:t xml:space="preserve"> prescrição da ação faz alusão à “prescrição da pretensão ao reconhecimento do direito” e a prescrição das prestações se refere </w:t>
      </w:r>
      <w:r w:rsidRPr="00741A93">
        <w:rPr>
          <w:rFonts w:ascii="Century Gothic" w:hAnsi="Century Gothic" w:cs="Tahoma"/>
          <w:color w:val="000000" w:themeColor="text1"/>
          <w:spacing w:val="5"/>
        </w:rPr>
        <w:t xml:space="preserve">à </w:t>
      </w:r>
      <w:r w:rsidR="006277D9" w:rsidRPr="00741A93">
        <w:rPr>
          <w:rFonts w:ascii="Century Gothic" w:hAnsi="Century Gothic" w:cs="Tahoma"/>
          <w:color w:val="000000" w:themeColor="text1"/>
          <w:spacing w:val="5"/>
        </w:rPr>
        <w:t>prescrição da pretensão à cobrança dos efeitos pecuniários</w:t>
      </w:r>
      <w:r w:rsidRPr="00741A93">
        <w:rPr>
          <w:rFonts w:ascii="Century Gothic" w:hAnsi="Century Gothic" w:cs="Tahoma"/>
          <w:color w:val="000000" w:themeColor="text1"/>
          <w:spacing w:val="5"/>
        </w:rPr>
        <w:t>.</w:t>
      </w:r>
    </w:p>
    <w:p w:rsidR="006277D9" w:rsidRPr="00741A93" w:rsidRDefault="006277D9"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lastRenderedPageBreak/>
        <w:t>Consumada a prescrição quinquenal, a Fazenda fica livre da ação do particular não só em relação ao direito material e originário, como também no que toca aos efeitos deste.</w:t>
      </w:r>
    </w:p>
    <w:p w:rsidR="006277D9" w:rsidRPr="00741A93" w:rsidRDefault="006277D9"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Há situações, contudo, em que ocorre apenas a prescrição das prestações, ou seja, dos efeitos pecuniários do ato originário. Trocando em miúdos, o fundo de direito permanece inalterado. Em contrapartida, tornam-se prescritas as parcelas pecuniárias decorrentes anteriores </w:t>
      </w:r>
      <w:proofErr w:type="gramStart"/>
      <w:r w:rsidRPr="00741A93">
        <w:rPr>
          <w:rFonts w:ascii="Century Gothic" w:hAnsi="Century Gothic" w:cs="Tahoma"/>
          <w:color w:val="000000" w:themeColor="text1"/>
          <w:spacing w:val="5"/>
        </w:rPr>
        <w:t>a</w:t>
      </w:r>
      <w:proofErr w:type="gramEnd"/>
      <w:r w:rsidRPr="00741A93">
        <w:rPr>
          <w:rFonts w:ascii="Century Gothic" w:hAnsi="Century Gothic" w:cs="Tahoma"/>
          <w:color w:val="000000" w:themeColor="text1"/>
          <w:spacing w:val="5"/>
        </w:rPr>
        <w:t xml:space="preserve"> cinco anos, preservando-se as que ocorreram nos cinco anos anteriores ao fato interruptivo.</w:t>
      </w:r>
    </w:p>
    <w:p w:rsidR="006277D9" w:rsidRPr="00741A93" w:rsidRDefault="006277D9" w:rsidP="006277D9">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O tema requer que se considere a natureza do ato que deu origem à lesão. Faz-se necessário diferenciar os efeitos das condutas comissivas e as condutas omissivas do Estado. Quando é comissiva, ou seja, quando o Estado se manifesta expressamente, a contagem do prazo prescricional se dá a partir dessa expressão da vontade estatal. Aqui a prescrição alcança o próprio fundo de direito, portanto, o próprio direito. Diversamente, quando o Estado se mantém inerte, embora devesse ter reconhecido o direito do interessado, a conduta é omissiva, isto é, o Estado não se manifestou quando deveria fazê-lo. Nesse último caso, a contagem se dá a partir de cada uma das prestações decorrentes do ato que o Estado deveria praticar para reconhecer o direito, e não o fez. A prescrição, aqui, alcança apenas as prestações, mas não afeta o direito em si.</w:t>
      </w:r>
    </w:p>
    <w:p w:rsidR="00F0021B" w:rsidRPr="00741A93" w:rsidRDefault="00F0021B" w:rsidP="00F0021B">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No caso da concessão de aposentadoria</w:t>
      </w:r>
      <w:r w:rsidR="00874DB0" w:rsidRPr="00741A93">
        <w:rPr>
          <w:rFonts w:ascii="Century Gothic" w:hAnsi="Century Gothic" w:cs="Tahoma"/>
          <w:color w:val="000000" w:themeColor="text1"/>
          <w:spacing w:val="5"/>
        </w:rPr>
        <w:t>s e pensão por morte</w:t>
      </w:r>
      <w:r w:rsidRPr="00741A93">
        <w:rPr>
          <w:rFonts w:ascii="Century Gothic" w:hAnsi="Century Gothic" w:cs="Tahoma"/>
          <w:color w:val="000000" w:themeColor="text1"/>
          <w:spacing w:val="5"/>
        </w:rPr>
        <w:t xml:space="preserve">, há uma conduta comissiva da Administração Pública. O ato de concessão necessita de um ato formal expresso da Administração. O prazo de prescrição do próprio fundo de direito é contado, portanto, da data do </w:t>
      </w:r>
      <w:r w:rsidR="00874DB0" w:rsidRPr="00741A93">
        <w:rPr>
          <w:rFonts w:ascii="Century Gothic" w:hAnsi="Century Gothic" w:cs="Tahoma"/>
          <w:color w:val="000000" w:themeColor="text1"/>
          <w:spacing w:val="5"/>
        </w:rPr>
        <w:t>seu deferimento</w:t>
      </w:r>
      <w:r w:rsidRPr="00741A93">
        <w:rPr>
          <w:rFonts w:ascii="Century Gothic" w:hAnsi="Century Gothic" w:cs="Tahoma"/>
          <w:color w:val="000000" w:themeColor="text1"/>
          <w:spacing w:val="5"/>
        </w:rPr>
        <w:t>. Passados cinco anos o próprio fundo de direito de revisão do ato de concessão est</w:t>
      </w:r>
      <w:r w:rsidR="00874DB0" w:rsidRPr="00741A93">
        <w:rPr>
          <w:rFonts w:ascii="Century Gothic" w:hAnsi="Century Gothic" w:cs="Tahoma"/>
          <w:color w:val="000000" w:themeColor="text1"/>
          <w:spacing w:val="5"/>
        </w:rPr>
        <w:t>ar</w:t>
      </w:r>
      <w:r w:rsidRPr="00741A93">
        <w:rPr>
          <w:rFonts w:ascii="Century Gothic" w:hAnsi="Century Gothic" w:cs="Tahoma"/>
          <w:color w:val="000000" w:themeColor="text1"/>
          <w:spacing w:val="5"/>
        </w:rPr>
        <w:t>á prescrito.</w:t>
      </w:r>
    </w:p>
    <w:p w:rsidR="00F0021B" w:rsidRPr="00741A93" w:rsidRDefault="00F0021B" w:rsidP="00F0021B">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lastRenderedPageBreak/>
        <w:t>O Colendo Superior Tribunal de Justiça decide pacificamente nestes termos, aduzindo que a aposentadoria do servidor público</w:t>
      </w:r>
      <w:r w:rsidR="00874DB0" w:rsidRPr="00741A93">
        <w:rPr>
          <w:rFonts w:ascii="Century Gothic" w:hAnsi="Century Gothic" w:cs="Tahoma"/>
          <w:color w:val="000000" w:themeColor="text1"/>
          <w:spacing w:val="5"/>
        </w:rPr>
        <w:t xml:space="preserve"> (entendimento também aplicável aos pedidos de pensão por morte)</w:t>
      </w:r>
      <w:r w:rsidRPr="00741A93">
        <w:rPr>
          <w:rFonts w:ascii="Century Gothic" w:hAnsi="Century Gothic" w:cs="Tahoma"/>
          <w:color w:val="000000" w:themeColor="text1"/>
          <w:spacing w:val="5"/>
        </w:rPr>
        <w:t xml:space="preserve"> é concedida por um único ato e que, a partir dessa concessão inicia-se a pretensão do aposentado de exigir a sua revisão. Superado esse prazo de cinco anos, extingue-se não apenas a pretensão de receber as parcelas em atraso, mas também o próprio fundo de direito. Eis os entendimentos esposados pelo Colendo STJ:</w:t>
      </w:r>
    </w:p>
    <w:p w:rsidR="00F0021B" w:rsidRPr="00741A93" w:rsidRDefault="00F0021B" w:rsidP="000C15C8">
      <w:pPr>
        <w:pStyle w:val="NormalWeb"/>
        <w:shd w:val="clear" w:color="auto" w:fill="FFFFFF"/>
        <w:spacing w:line="360" w:lineRule="auto"/>
        <w:ind w:left="1416"/>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DIREITO ADMINISTRATIVO E PREVIDENCIÁRIO. APLICABILIDADE DO ART. 1º DO DECRETO 20.910/1932 AOS CASOS DE REVISÃO DE APOSENTADORIA DE SERVIDOR PÚBLICO. </w:t>
      </w:r>
      <w:r w:rsidRPr="00741A93">
        <w:rPr>
          <w:rStyle w:val="nfase"/>
          <w:rFonts w:ascii="Century Gothic" w:hAnsi="Century Gothic" w:cs="Tahoma"/>
          <w:color w:val="000000" w:themeColor="text1"/>
          <w:spacing w:val="5"/>
          <w:u w:val="single"/>
        </w:rPr>
        <w:t>Nos casos em que o servidor público busque a revisão do ato de aposentadoria, ocorre a prescrição do próprio fundo de direito após o transcurso de mais de cinco anos – e não de dez anos – entre o ato de concessão e o ajuizamento da ação.</w:t>
      </w:r>
      <w:r w:rsidRPr="00741A93">
        <w:rPr>
          <w:rStyle w:val="nfase"/>
          <w:rFonts w:ascii="Century Gothic" w:hAnsi="Century Gothic" w:cs="Tahoma"/>
          <w:color w:val="000000" w:themeColor="text1"/>
          <w:spacing w:val="5"/>
        </w:rPr>
        <w:t xml:space="preserve"> Trata-se da aplicação do art. 1º do Decreto 20.910/1932, segundo o qual as “dívidas passivas da União, dos Estados e dos Municípios, bem assim todo e qualquer direito ou ação contra a Fazenda federal, estadual ou municipal, seja qual for a sua natureza, </w:t>
      </w:r>
      <w:proofErr w:type="gramStart"/>
      <w:r w:rsidRPr="00741A93">
        <w:rPr>
          <w:rStyle w:val="nfase"/>
          <w:rFonts w:ascii="Century Gothic" w:hAnsi="Century Gothic" w:cs="Tahoma"/>
          <w:color w:val="000000" w:themeColor="text1"/>
          <w:spacing w:val="5"/>
        </w:rPr>
        <w:t>prescrevem</w:t>
      </w:r>
      <w:proofErr w:type="gramEnd"/>
      <w:r w:rsidRPr="00741A93">
        <w:rPr>
          <w:rStyle w:val="nfase"/>
          <w:rFonts w:ascii="Century Gothic" w:hAnsi="Century Gothic" w:cs="Tahoma"/>
          <w:color w:val="000000" w:themeColor="text1"/>
          <w:spacing w:val="5"/>
        </w:rPr>
        <w:t xml:space="preserve"> em cinco anos contados da data do ato ou fato do qual se originarem”. A existência de norma específica que regula a prescrição quinquenal, nos feitos que envolvem as relações de cunho administrativo – tais como aquelas que envolvem a Administração Pública e os seus servidores –, afasta a adoção do prazo decenal previsto no art. 103, caput, da Lei 8.213/1991, que dispõe sobre os Planos de Benefícios da Previdência Social. Ressalte-se, ademais, que os requisitos e critérios fixados para o regime geral de previdência social – cuja adoção não poderá ser </w:t>
      </w:r>
      <w:r w:rsidRPr="00741A93">
        <w:rPr>
          <w:rStyle w:val="nfase"/>
          <w:rFonts w:ascii="Century Gothic" w:hAnsi="Century Gothic" w:cs="Tahoma"/>
          <w:color w:val="000000" w:themeColor="text1"/>
          <w:spacing w:val="5"/>
        </w:rPr>
        <w:lastRenderedPageBreak/>
        <w:t xml:space="preserve">diferenciada tão somente para efeito de aposentadoria – serão aplicáveis aos regimes de previdência dos servidores públicos titulares de cargo efetivo “no que couber”, conforme determina a redação do art. 40, § 12, da CF. Precedentes citados: </w:t>
      </w:r>
      <w:proofErr w:type="spellStart"/>
      <w:proofErr w:type="gramStart"/>
      <w:r w:rsidRPr="00741A93">
        <w:rPr>
          <w:rStyle w:val="nfase"/>
          <w:rFonts w:ascii="Century Gothic" w:hAnsi="Century Gothic" w:cs="Tahoma"/>
          <w:color w:val="000000" w:themeColor="text1"/>
          <w:spacing w:val="5"/>
        </w:rPr>
        <w:t>AgRg</w:t>
      </w:r>
      <w:proofErr w:type="spellEnd"/>
      <w:proofErr w:type="gramEnd"/>
      <w:r w:rsidRPr="00741A93">
        <w:rPr>
          <w:rStyle w:val="nfase"/>
          <w:rFonts w:ascii="Century Gothic" w:hAnsi="Century Gothic" w:cs="Tahoma"/>
          <w:color w:val="000000" w:themeColor="text1"/>
          <w:spacing w:val="5"/>
        </w:rPr>
        <w:t xml:space="preserve"> no </w:t>
      </w:r>
      <w:proofErr w:type="spellStart"/>
      <w:r w:rsidRPr="00741A93">
        <w:rPr>
          <w:rStyle w:val="nfase"/>
          <w:rFonts w:ascii="Century Gothic" w:hAnsi="Century Gothic" w:cs="Tahoma"/>
          <w:color w:val="000000" w:themeColor="text1"/>
          <w:spacing w:val="5"/>
        </w:rPr>
        <w:t>AREsp</w:t>
      </w:r>
      <w:proofErr w:type="spellEnd"/>
      <w:r w:rsidRPr="00741A93">
        <w:rPr>
          <w:rStyle w:val="nfase"/>
          <w:rFonts w:ascii="Century Gothic" w:hAnsi="Century Gothic" w:cs="Tahoma"/>
          <w:color w:val="000000" w:themeColor="text1"/>
          <w:spacing w:val="5"/>
        </w:rPr>
        <w:t xml:space="preserve"> 86.525-RS, Primeira Turma, </w:t>
      </w:r>
      <w:proofErr w:type="spellStart"/>
      <w:r w:rsidRPr="00741A93">
        <w:rPr>
          <w:rStyle w:val="nfase"/>
          <w:rFonts w:ascii="Century Gothic" w:hAnsi="Century Gothic" w:cs="Tahoma"/>
          <w:color w:val="000000" w:themeColor="text1"/>
          <w:spacing w:val="5"/>
        </w:rPr>
        <w:t>DJe</w:t>
      </w:r>
      <w:proofErr w:type="spellEnd"/>
      <w:r w:rsidRPr="00741A93">
        <w:rPr>
          <w:rStyle w:val="nfase"/>
          <w:rFonts w:ascii="Century Gothic" w:hAnsi="Century Gothic" w:cs="Tahoma"/>
          <w:color w:val="000000" w:themeColor="text1"/>
          <w:spacing w:val="5"/>
        </w:rPr>
        <w:t xml:space="preserve"> 16/5/2014; e </w:t>
      </w:r>
      <w:proofErr w:type="spellStart"/>
      <w:r w:rsidRPr="00741A93">
        <w:rPr>
          <w:rStyle w:val="nfase"/>
          <w:rFonts w:ascii="Century Gothic" w:hAnsi="Century Gothic" w:cs="Tahoma"/>
          <w:color w:val="000000" w:themeColor="text1"/>
          <w:spacing w:val="5"/>
        </w:rPr>
        <w:t>AgRg</w:t>
      </w:r>
      <w:proofErr w:type="spellEnd"/>
      <w:r w:rsidRPr="00741A93">
        <w:rPr>
          <w:rStyle w:val="nfase"/>
          <w:rFonts w:ascii="Century Gothic" w:hAnsi="Century Gothic" w:cs="Tahoma"/>
          <w:color w:val="000000" w:themeColor="text1"/>
          <w:spacing w:val="5"/>
        </w:rPr>
        <w:t xml:space="preserve"> no </w:t>
      </w:r>
      <w:proofErr w:type="spellStart"/>
      <w:r w:rsidRPr="00741A93">
        <w:rPr>
          <w:rStyle w:val="nfase"/>
          <w:rFonts w:ascii="Century Gothic" w:hAnsi="Century Gothic" w:cs="Tahoma"/>
          <w:color w:val="000000" w:themeColor="text1"/>
          <w:spacing w:val="5"/>
        </w:rPr>
        <w:t>REsp</w:t>
      </w:r>
      <w:proofErr w:type="spellEnd"/>
      <w:r w:rsidRPr="00741A93">
        <w:rPr>
          <w:rStyle w:val="nfase"/>
          <w:rFonts w:ascii="Century Gothic" w:hAnsi="Century Gothic" w:cs="Tahoma"/>
          <w:color w:val="000000" w:themeColor="text1"/>
          <w:spacing w:val="5"/>
        </w:rPr>
        <w:t xml:space="preserve"> 1.242.708-RS, Segunda Turma, </w:t>
      </w:r>
      <w:proofErr w:type="spellStart"/>
      <w:r w:rsidRPr="00741A93">
        <w:rPr>
          <w:rStyle w:val="nfase"/>
          <w:rFonts w:ascii="Century Gothic" w:hAnsi="Century Gothic" w:cs="Tahoma"/>
          <w:color w:val="000000" w:themeColor="text1"/>
          <w:spacing w:val="5"/>
        </w:rPr>
        <w:t>DJe</w:t>
      </w:r>
      <w:proofErr w:type="spellEnd"/>
      <w:r w:rsidRPr="00741A93">
        <w:rPr>
          <w:rStyle w:val="nfase"/>
          <w:rFonts w:ascii="Century Gothic" w:hAnsi="Century Gothic" w:cs="Tahoma"/>
          <w:color w:val="000000" w:themeColor="text1"/>
          <w:spacing w:val="5"/>
        </w:rPr>
        <w:t xml:space="preserve"> 14/4/2014. (</w:t>
      </w:r>
      <w:hyperlink r:id="rId7" w:tgtFrame="new" w:history="1">
        <w:r w:rsidRPr="00741A93">
          <w:rPr>
            <w:rStyle w:val="nfase"/>
            <w:rFonts w:ascii="Century Gothic" w:hAnsi="Century Gothic" w:cs="Tahoma"/>
            <w:color w:val="000000" w:themeColor="text1"/>
            <w:spacing w:val="5"/>
          </w:rPr>
          <w:t>Pet 9.156-RJ</w:t>
        </w:r>
      </w:hyperlink>
      <w:r w:rsidRPr="00741A93">
        <w:rPr>
          <w:rStyle w:val="nfase"/>
          <w:rFonts w:ascii="Century Gothic" w:hAnsi="Century Gothic" w:cs="Tahoma"/>
          <w:color w:val="000000" w:themeColor="text1"/>
          <w:spacing w:val="5"/>
        </w:rPr>
        <w:t>, Rel. Min. Arnaldo Esteves Lima, julgado em 28/5/2014.) (grifos nossos)</w:t>
      </w:r>
    </w:p>
    <w:p w:rsidR="00F0021B" w:rsidRPr="00741A93" w:rsidRDefault="00F0021B" w:rsidP="000C15C8">
      <w:pPr>
        <w:pStyle w:val="NormalWeb"/>
        <w:shd w:val="clear" w:color="auto" w:fill="FFFFFF"/>
        <w:spacing w:line="360" w:lineRule="auto"/>
        <w:ind w:left="1416"/>
        <w:jc w:val="both"/>
        <w:rPr>
          <w:rStyle w:val="nfase"/>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ADMINISTRATIVO. SERVIDOR PÚBLICO MUNICIPAL. APOSENTADORIA. REVISÃO DO ATO. PRESCRIÇÃO DO FUNDO DE DIREITO. TERMO INICIAL. RECURSO ESPECIAL CONHECIDO E IMPROVIDO. 1. </w:t>
      </w:r>
      <w:r w:rsidRPr="00741A93">
        <w:rPr>
          <w:rStyle w:val="Forte"/>
          <w:rFonts w:ascii="Century Gothic" w:hAnsi="Century Gothic" w:cs="Tahoma"/>
          <w:i/>
          <w:iCs/>
          <w:color w:val="000000" w:themeColor="text1"/>
          <w:spacing w:val="5"/>
          <w:u w:val="single"/>
        </w:rPr>
        <w:t>Nos casos em que o servidor busca a revisão do ato de aposentadoria, ocorre a prescrição do próprio fundo de direito após o transcurso de mais de cinco anos entre o ato de concessão e o ajuizamento da ação. Precedentes.</w:t>
      </w:r>
      <w:r w:rsidRPr="00741A93">
        <w:rPr>
          <w:rStyle w:val="nfase"/>
          <w:rFonts w:ascii="Century Gothic" w:hAnsi="Century Gothic" w:cs="Tahoma"/>
          <w:color w:val="000000" w:themeColor="text1"/>
          <w:spacing w:val="5"/>
        </w:rPr>
        <w:t> </w:t>
      </w:r>
      <w:proofErr w:type="gramStart"/>
      <w:r w:rsidRPr="00741A93">
        <w:rPr>
          <w:rStyle w:val="nfase"/>
          <w:rFonts w:ascii="Century Gothic" w:hAnsi="Century Gothic" w:cs="Tahoma"/>
          <w:color w:val="000000" w:themeColor="text1"/>
          <w:spacing w:val="5"/>
        </w:rPr>
        <w:t>2</w:t>
      </w:r>
      <w:proofErr w:type="gramEnd"/>
      <w:r w:rsidRPr="00741A93">
        <w:rPr>
          <w:rStyle w:val="nfase"/>
          <w:rFonts w:ascii="Century Gothic" w:hAnsi="Century Gothic" w:cs="Tahoma"/>
          <w:color w:val="000000" w:themeColor="text1"/>
          <w:spacing w:val="5"/>
        </w:rPr>
        <w:t>. O prazo prescricional para revisão do ato de aposentadoria começa a transcorrer na data de sua publicação e não do seu registro no Tribunal de Contas, pois este possui natureza jurídica meramente declaratória. 3. Recurso especial conhecido e improvido. (</w:t>
      </w:r>
      <w:proofErr w:type="spellStart"/>
      <w:proofErr w:type="gramStart"/>
      <w:r w:rsidRPr="00741A93">
        <w:rPr>
          <w:rStyle w:val="nfase"/>
          <w:rFonts w:ascii="Century Gothic" w:hAnsi="Century Gothic" w:cs="Tahoma"/>
          <w:color w:val="000000" w:themeColor="text1"/>
          <w:spacing w:val="5"/>
        </w:rPr>
        <w:t>REsp</w:t>
      </w:r>
      <w:proofErr w:type="spellEnd"/>
      <w:proofErr w:type="gramEnd"/>
      <w:r w:rsidRPr="00741A93">
        <w:rPr>
          <w:rStyle w:val="nfase"/>
          <w:rFonts w:ascii="Century Gothic" w:hAnsi="Century Gothic" w:cs="Tahoma"/>
          <w:color w:val="000000" w:themeColor="text1"/>
          <w:spacing w:val="5"/>
        </w:rPr>
        <w:t xml:space="preserve"> nº 759.731/RS, Relator o Ministro ARNALDO</w:t>
      </w:r>
      <w:r w:rsidR="000C15C8" w:rsidRPr="00741A93">
        <w:rPr>
          <w:rStyle w:val="nfase"/>
          <w:rFonts w:ascii="Century Gothic" w:hAnsi="Century Gothic" w:cs="Tahoma"/>
          <w:color w:val="000000" w:themeColor="text1"/>
          <w:spacing w:val="5"/>
        </w:rPr>
        <w:t xml:space="preserve"> ESTEVES LIMA, DJU de 11/6/2007.</w:t>
      </w:r>
    </w:p>
    <w:p w:rsidR="000C15C8" w:rsidRPr="00741A93" w:rsidRDefault="000C15C8"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O prazo de prescrição do próprio fundo de direito é contado, portanto, do prazo do deferimento</w:t>
      </w:r>
      <w:r w:rsidR="00874DB0" w:rsidRPr="00741A93">
        <w:rPr>
          <w:rFonts w:ascii="Century Gothic" w:hAnsi="Century Gothic" w:cs="Tahoma"/>
          <w:color w:val="000000" w:themeColor="text1"/>
          <w:spacing w:val="5"/>
        </w:rPr>
        <w:t xml:space="preserve"> do benefício</w:t>
      </w:r>
      <w:r w:rsidRPr="00741A93">
        <w:rPr>
          <w:rFonts w:ascii="Century Gothic" w:hAnsi="Century Gothic" w:cs="Tahoma"/>
          <w:color w:val="000000" w:themeColor="text1"/>
          <w:spacing w:val="5"/>
        </w:rPr>
        <w:t>. Passados cinco anos do ato impugnado, o próprio fundo de direito de revisão est</w:t>
      </w:r>
      <w:r w:rsidR="00874DB0" w:rsidRPr="00741A93">
        <w:rPr>
          <w:rFonts w:ascii="Century Gothic" w:hAnsi="Century Gothic" w:cs="Tahoma"/>
          <w:color w:val="000000" w:themeColor="text1"/>
          <w:spacing w:val="5"/>
        </w:rPr>
        <w:t>ar</w:t>
      </w:r>
      <w:r w:rsidRPr="00741A93">
        <w:rPr>
          <w:rFonts w:ascii="Century Gothic" w:hAnsi="Century Gothic" w:cs="Tahoma"/>
          <w:color w:val="000000" w:themeColor="text1"/>
          <w:spacing w:val="5"/>
        </w:rPr>
        <w:t xml:space="preserve">á prescrito. </w:t>
      </w:r>
    </w:p>
    <w:p w:rsidR="000C15C8" w:rsidRPr="00741A93" w:rsidRDefault="000C15C8"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O prazo quinquenal está previsto no art. 1º do Decreto nº 20.910/1932.</w:t>
      </w:r>
    </w:p>
    <w:p w:rsidR="000C15C8" w:rsidRPr="00741A93" w:rsidRDefault="000C15C8" w:rsidP="000C15C8">
      <w:pPr>
        <w:pStyle w:val="NormalWeb"/>
        <w:shd w:val="clear" w:color="auto" w:fill="FFFFFF"/>
        <w:spacing w:line="360" w:lineRule="auto"/>
        <w:ind w:left="1416"/>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lastRenderedPageBreak/>
        <w:t xml:space="preserve">Art. 1º As dívidas passivas da União, dos Estados e dos Municípios, bem assim todo e qualquer direito ou ação contra a Fazenda federal, estadual ou municipal, seja qual for a sua natureza, prescrevem em cinco anos contados da data do ato ou fato do qual se </w:t>
      </w:r>
      <w:proofErr w:type="gramStart"/>
      <w:r w:rsidRPr="00741A93">
        <w:rPr>
          <w:rStyle w:val="nfase"/>
          <w:rFonts w:ascii="Century Gothic" w:hAnsi="Century Gothic" w:cs="Tahoma"/>
          <w:color w:val="000000" w:themeColor="text1"/>
          <w:spacing w:val="5"/>
        </w:rPr>
        <w:t>originarem</w:t>
      </w:r>
      <w:proofErr w:type="gramEnd"/>
      <w:r w:rsidRPr="00741A93">
        <w:rPr>
          <w:rStyle w:val="nfase"/>
          <w:rFonts w:ascii="Century Gothic" w:hAnsi="Century Gothic" w:cs="Tahoma"/>
          <w:color w:val="000000" w:themeColor="text1"/>
          <w:spacing w:val="5"/>
        </w:rPr>
        <w:t>.</w:t>
      </w:r>
    </w:p>
    <w:p w:rsidR="000C15C8" w:rsidRPr="00741A93" w:rsidRDefault="000C15C8"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 A jurisprudência pátria é uníssona, aduzindo que a partir do ato de </w:t>
      </w:r>
      <w:r w:rsidR="00874DB0" w:rsidRPr="00741A93">
        <w:rPr>
          <w:rFonts w:ascii="Century Gothic" w:hAnsi="Century Gothic" w:cs="Tahoma"/>
          <w:color w:val="000000" w:themeColor="text1"/>
          <w:spacing w:val="5"/>
        </w:rPr>
        <w:t xml:space="preserve">concessão de </w:t>
      </w:r>
      <w:r w:rsidRPr="00741A93">
        <w:rPr>
          <w:rFonts w:ascii="Century Gothic" w:hAnsi="Century Gothic" w:cs="Tahoma"/>
          <w:color w:val="000000" w:themeColor="text1"/>
          <w:spacing w:val="5"/>
        </w:rPr>
        <w:t>aposentadoria</w:t>
      </w:r>
      <w:r w:rsidR="00874DB0" w:rsidRPr="00741A93">
        <w:rPr>
          <w:rFonts w:ascii="Century Gothic" w:hAnsi="Century Gothic" w:cs="Tahoma"/>
          <w:color w:val="000000" w:themeColor="text1"/>
          <w:spacing w:val="5"/>
        </w:rPr>
        <w:t xml:space="preserve"> ou de pensão por morte</w:t>
      </w:r>
      <w:r w:rsidRPr="00741A93">
        <w:rPr>
          <w:rFonts w:ascii="Century Gothic" w:hAnsi="Century Gothic" w:cs="Tahoma"/>
          <w:color w:val="000000" w:themeColor="text1"/>
          <w:spacing w:val="5"/>
        </w:rPr>
        <w:t xml:space="preserve"> inicia-se a pretensão da inativa pleitear </w:t>
      </w:r>
      <w:r w:rsidR="00874DB0" w:rsidRPr="00741A93">
        <w:rPr>
          <w:rFonts w:ascii="Century Gothic" w:hAnsi="Century Gothic" w:cs="Tahoma"/>
          <w:color w:val="000000" w:themeColor="text1"/>
          <w:spacing w:val="5"/>
        </w:rPr>
        <w:t>a sua revisão</w:t>
      </w:r>
      <w:r w:rsidRPr="00741A93">
        <w:rPr>
          <w:rFonts w:ascii="Century Gothic" w:hAnsi="Century Gothic" w:cs="Tahoma"/>
          <w:color w:val="000000" w:themeColor="text1"/>
          <w:spacing w:val="5"/>
        </w:rPr>
        <w:t>. Superado esse prazo de cinco anos, extingue-se não apenas a pretensão de receber as parcelas em atraso, mas também o próprio fundo de direito.</w:t>
      </w:r>
    </w:p>
    <w:p w:rsidR="000C15C8" w:rsidRPr="00741A93" w:rsidRDefault="000C15C8"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 A prescrição do fundo de direito é matéria sumulada pelos tribunais superiores. A súmula de nº 85 do Colendo Superior Tribunal de Justiça baliza a prescrição quinquenal em face da Fazenda Pública, insculpida no Decreto nº 20.910/1932, aplicável apenas sobre as prestações de trato sucessivo em que a Fazenda Pública figure como </w:t>
      </w:r>
      <w:proofErr w:type="gramStart"/>
      <w:r w:rsidRPr="00741A93">
        <w:rPr>
          <w:rFonts w:ascii="Century Gothic" w:hAnsi="Century Gothic" w:cs="Tahoma"/>
          <w:color w:val="000000" w:themeColor="text1"/>
          <w:spacing w:val="5"/>
        </w:rPr>
        <w:t>devedora, vencidas</w:t>
      </w:r>
      <w:proofErr w:type="gramEnd"/>
      <w:r w:rsidRPr="00741A93">
        <w:rPr>
          <w:rFonts w:ascii="Century Gothic" w:hAnsi="Century Gothic" w:cs="Tahoma"/>
          <w:color w:val="000000" w:themeColor="text1"/>
          <w:spacing w:val="5"/>
        </w:rPr>
        <w:t xml:space="preserve"> até cinco anos anteriores a eventual propositura da ação de cobrança. Eis o teor da Súmula nº 85 do STJ:</w:t>
      </w:r>
    </w:p>
    <w:p w:rsidR="000C15C8" w:rsidRPr="00741A93" w:rsidRDefault="000C15C8" w:rsidP="005937B7">
      <w:pPr>
        <w:pStyle w:val="NormalWeb"/>
        <w:shd w:val="clear" w:color="auto" w:fill="FFFFFF"/>
        <w:spacing w:line="360" w:lineRule="auto"/>
        <w:ind w:left="1416"/>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Súmula nº 85 – STJ. Nas relações jurídicas de trato sucessivo em que a Fazenda Pública figure como devedora, quando não tiver sido negado o próprio direito reclamado, a prescrição atinge apenas as prestações vencidas antes do quinquênio anterior à propositura da ação.</w:t>
      </w:r>
    </w:p>
    <w:p w:rsidR="000C15C8" w:rsidRPr="00741A93" w:rsidRDefault="00874DB0"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Em se tratando de aposentadorias e pensões concedidas por RPPS, n</w:t>
      </w:r>
      <w:r w:rsidR="000C15C8" w:rsidRPr="00741A93">
        <w:rPr>
          <w:rFonts w:ascii="Century Gothic" w:hAnsi="Century Gothic" w:cs="Tahoma"/>
          <w:color w:val="000000" w:themeColor="text1"/>
          <w:spacing w:val="5"/>
        </w:rPr>
        <w:t xml:space="preserve">ão </w:t>
      </w:r>
      <w:r w:rsidRPr="00741A93">
        <w:rPr>
          <w:rFonts w:ascii="Century Gothic" w:hAnsi="Century Gothic" w:cs="Tahoma"/>
          <w:color w:val="000000" w:themeColor="text1"/>
          <w:spacing w:val="5"/>
        </w:rPr>
        <w:t>se deve aplicar por a</w:t>
      </w:r>
      <w:r w:rsidR="000C15C8" w:rsidRPr="00741A93">
        <w:rPr>
          <w:rFonts w:ascii="Century Gothic" w:hAnsi="Century Gothic" w:cs="Tahoma"/>
          <w:color w:val="000000" w:themeColor="text1"/>
          <w:spacing w:val="5"/>
        </w:rPr>
        <w:t>nalogia a lei do Regime Geral de Previdência Social, tendo em vista que existe lei expressa aplicável ao caso. Ademais, a Administração Pública é regida pelo princípio da legalidade, nos termos do art. 37 da Constituição Federal, ora </w:t>
      </w:r>
      <w:r w:rsidR="000C15C8" w:rsidRPr="00741A93">
        <w:rPr>
          <w:rStyle w:val="nfase"/>
          <w:rFonts w:ascii="Century Gothic" w:hAnsi="Century Gothic" w:cs="Tahoma"/>
          <w:color w:val="000000" w:themeColor="text1"/>
          <w:spacing w:val="5"/>
        </w:rPr>
        <w:t xml:space="preserve">in </w:t>
      </w:r>
      <w:proofErr w:type="spellStart"/>
      <w:r w:rsidR="000C15C8" w:rsidRPr="00741A93">
        <w:rPr>
          <w:rStyle w:val="nfase"/>
          <w:rFonts w:ascii="Century Gothic" w:hAnsi="Century Gothic" w:cs="Tahoma"/>
          <w:color w:val="000000" w:themeColor="text1"/>
          <w:spacing w:val="5"/>
        </w:rPr>
        <w:t>verbis</w:t>
      </w:r>
      <w:proofErr w:type="spellEnd"/>
      <w:r w:rsidR="000C15C8" w:rsidRPr="00741A93">
        <w:rPr>
          <w:rStyle w:val="nfase"/>
          <w:rFonts w:ascii="Century Gothic" w:hAnsi="Century Gothic" w:cs="Tahoma"/>
          <w:color w:val="000000" w:themeColor="text1"/>
          <w:spacing w:val="5"/>
        </w:rPr>
        <w:t>:</w:t>
      </w:r>
    </w:p>
    <w:p w:rsidR="000C15C8" w:rsidRPr="00741A93" w:rsidRDefault="000C15C8" w:rsidP="005937B7">
      <w:pPr>
        <w:pStyle w:val="NormalWeb"/>
        <w:shd w:val="clear" w:color="auto" w:fill="FFFFFF"/>
        <w:spacing w:line="360" w:lineRule="auto"/>
        <w:ind w:left="1416"/>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lastRenderedPageBreak/>
        <w:t>Art. 37. A administração pública direta e indireta de qualquer dos Poderes da União, dos Estados, do Distrito Federal e dos Municípios obedecerá aos princípios de legalidade, impessoalidade, moralidade, publicidade e eficiência e, também, ao seguinte: </w:t>
      </w:r>
    </w:p>
    <w:p w:rsidR="000C15C8" w:rsidRPr="00741A93" w:rsidRDefault="000C15C8"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Ademais, a Carta Magna estabelece que as regras do regime geral </w:t>
      </w:r>
      <w:proofErr w:type="gramStart"/>
      <w:r w:rsidRPr="00741A93">
        <w:rPr>
          <w:rFonts w:ascii="Century Gothic" w:hAnsi="Century Gothic" w:cs="Tahoma"/>
          <w:color w:val="000000" w:themeColor="text1"/>
          <w:spacing w:val="5"/>
        </w:rPr>
        <w:t>são</w:t>
      </w:r>
      <w:proofErr w:type="gramEnd"/>
      <w:r w:rsidRPr="00741A93">
        <w:rPr>
          <w:rFonts w:ascii="Century Gothic" w:hAnsi="Century Gothic" w:cs="Tahoma"/>
          <w:color w:val="000000" w:themeColor="text1"/>
          <w:spacing w:val="5"/>
        </w:rPr>
        <w:t xml:space="preserve"> aplicáveis nas hipóteses não regulamentadas especificamente pelo regime próprio. Tal entendimento advém da interpretação do termo “no que couber” previsto no §12 do art. 40 da Constituição Federal, senão vejamos:</w:t>
      </w:r>
    </w:p>
    <w:p w:rsidR="000C15C8" w:rsidRPr="00741A93" w:rsidRDefault="000C15C8" w:rsidP="005937B7">
      <w:pPr>
        <w:pStyle w:val="NormalWeb"/>
        <w:shd w:val="clear" w:color="auto" w:fill="FFFFFF"/>
        <w:spacing w:line="360" w:lineRule="auto"/>
        <w:ind w:left="1416"/>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 xml:space="preserve">Art. 40. Aos servidores titulares de cargos efetivos da União, dos Estados, do Distrito Federal e dos Municípios, incluídas suas autarquias e fundações, </w:t>
      </w:r>
      <w:proofErr w:type="gramStart"/>
      <w:r w:rsidRPr="00741A93">
        <w:rPr>
          <w:rStyle w:val="nfase"/>
          <w:rFonts w:ascii="Century Gothic" w:hAnsi="Century Gothic" w:cs="Tahoma"/>
          <w:color w:val="000000" w:themeColor="text1"/>
          <w:spacing w:val="5"/>
        </w:rPr>
        <w:t>é assegurado</w:t>
      </w:r>
      <w:proofErr w:type="gramEnd"/>
      <w:r w:rsidRPr="00741A93">
        <w:rPr>
          <w:rStyle w:val="nfase"/>
          <w:rFonts w:ascii="Century Gothic" w:hAnsi="Century Gothic" w:cs="Tahoma"/>
          <w:color w:val="000000" w:themeColor="text1"/>
          <w:spacing w:val="5"/>
        </w:rPr>
        <w:t xml:space="preserve"> regime de previdência de caráter contributivo e solidário, mediante contribuição do respectivo ente público, dos servidores ativos e inativos e dos pensionistas, observados critérios que preservem o equilíbrio financeiro e atuarial e o disposto neste artigo. </w:t>
      </w:r>
    </w:p>
    <w:p w:rsidR="000C15C8" w:rsidRPr="00741A93" w:rsidRDefault="000C15C8" w:rsidP="005937B7">
      <w:pPr>
        <w:pStyle w:val="NormalWeb"/>
        <w:shd w:val="clear" w:color="auto" w:fill="FFFFFF"/>
        <w:spacing w:line="360" w:lineRule="auto"/>
        <w:ind w:left="708" w:firstLine="708"/>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w:t>
      </w:r>
    </w:p>
    <w:p w:rsidR="000C15C8" w:rsidRPr="00741A93" w:rsidRDefault="000C15C8" w:rsidP="005937B7">
      <w:pPr>
        <w:pStyle w:val="NormalWeb"/>
        <w:shd w:val="clear" w:color="auto" w:fill="FFFFFF"/>
        <w:spacing w:line="360" w:lineRule="auto"/>
        <w:ind w:left="1416"/>
        <w:jc w:val="both"/>
        <w:rPr>
          <w:rFonts w:ascii="Century Gothic" w:hAnsi="Century Gothic" w:cs="Tahoma"/>
          <w:color w:val="000000" w:themeColor="text1"/>
          <w:spacing w:val="5"/>
        </w:rPr>
      </w:pPr>
      <w:r w:rsidRPr="00741A93">
        <w:rPr>
          <w:rStyle w:val="nfase"/>
          <w:rFonts w:ascii="Century Gothic" w:hAnsi="Century Gothic" w:cs="Tahoma"/>
          <w:color w:val="000000" w:themeColor="text1"/>
          <w:spacing w:val="5"/>
        </w:rPr>
        <w:t xml:space="preserve">§ 12 - Além do disposto neste artigo, o regime de previdência dos servidores públicos titulares de cargo efetivo observará, no que </w:t>
      </w:r>
      <w:proofErr w:type="gramStart"/>
      <w:r w:rsidRPr="00741A93">
        <w:rPr>
          <w:rStyle w:val="nfase"/>
          <w:rFonts w:ascii="Century Gothic" w:hAnsi="Century Gothic" w:cs="Tahoma"/>
          <w:color w:val="000000" w:themeColor="text1"/>
          <w:spacing w:val="5"/>
        </w:rPr>
        <w:t>couber</w:t>
      </w:r>
      <w:proofErr w:type="gramEnd"/>
      <w:r w:rsidRPr="00741A93">
        <w:rPr>
          <w:rStyle w:val="nfase"/>
          <w:rFonts w:ascii="Century Gothic" w:hAnsi="Century Gothic" w:cs="Tahoma"/>
          <w:color w:val="000000" w:themeColor="text1"/>
          <w:spacing w:val="5"/>
        </w:rPr>
        <w:t>, os requisitos e critérios fixados para o regime geral de previdência social.   </w:t>
      </w:r>
    </w:p>
    <w:p w:rsidR="000C15C8" w:rsidRPr="00741A93" w:rsidRDefault="000C15C8" w:rsidP="000C15C8">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Destarte, tendo em vista que existe dispositivo específico para regular a matéria, resta inaplicável o art. 103 da Lei 8.213/91.</w:t>
      </w:r>
    </w:p>
    <w:p w:rsidR="00B82B35" w:rsidRPr="00741A93" w:rsidRDefault="00B82B35" w:rsidP="00267AB2">
      <w:pPr>
        <w:shd w:val="clear" w:color="auto" w:fill="FFFFFF"/>
        <w:spacing w:after="0" w:line="360" w:lineRule="auto"/>
        <w:jc w:val="both"/>
        <w:rPr>
          <w:rFonts w:ascii="Century Gothic" w:eastAsia="Times New Roman" w:hAnsi="Century Gothic" w:cs="Times New Roman"/>
          <w:color w:val="000000" w:themeColor="text1"/>
          <w:sz w:val="24"/>
          <w:szCs w:val="24"/>
          <w:lang w:eastAsia="pt-BR"/>
        </w:rPr>
      </w:pPr>
      <w:r w:rsidRPr="00741A93">
        <w:rPr>
          <w:rFonts w:ascii="Century Gothic" w:eastAsia="Times New Roman" w:hAnsi="Century Gothic" w:cs="Times New Roman"/>
          <w:color w:val="000000" w:themeColor="text1"/>
          <w:sz w:val="24"/>
          <w:szCs w:val="24"/>
          <w:lang w:eastAsia="pt-BR"/>
        </w:rPr>
        <w:t>O STJ</w:t>
      </w:r>
      <w:r w:rsidR="009A088E" w:rsidRPr="00741A93">
        <w:rPr>
          <w:rFonts w:ascii="Century Gothic" w:eastAsia="Times New Roman" w:hAnsi="Century Gothic" w:cs="Times New Roman"/>
          <w:color w:val="000000" w:themeColor="text1"/>
          <w:sz w:val="24"/>
          <w:szCs w:val="24"/>
          <w:lang w:eastAsia="pt-BR"/>
        </w:rPr>
        <w:t xml:space="preserve"> </w:t>
      </w:r>
      <w:r w:rsidRPr="00741A93">
        <w:rPr>
          <w:rFonts w:ascii="Century Gothic" w:eastAsia="Times New Roman" w:hAnsi="Century Gothic" w:cs="Times New Roman"/>
          <w:color w:val="000000" w:themeColor="text1"/>
          <w:sz w:val="24"/>
          <w:szCs w:val="24"/>
          <w:lang w:eastAsia="pt-BR"/>
        </w:rPr>
        <w:t xml:space="preserve">tem aplicado o prazo prescricional de </w:t>
      </w:r>
      <w:proofErr w:type="gramStart"/>
      <w:r w:rsidRPr="00741A93">
        <w:rPr>
          <w:rFonts w:ascii="Century Gothic" w:eastAsia="Times New Roman" w:hAnsi="Century Gothic" w:cs="Times New Roman"/>
          <w:color w:val="000000" w:themeColor="text1"/>
          <w:sz w:val="24"/>
          <w:szCs w:val="24"/>
          <w:lang w:eastAsia="pt-BR"/>
        </w:rPr>
        <w:t>5</w:t>
      </w:r>
      <w:proofErr w:type="gramEnd"/>
      <w:r w:rsidRPr="00741A93">
        <w:rPr>
          <w:rFonts w:ascii="Century Gothic" w:eastAsia="Times New Roman" w:hAnsi="Century Gothic" w:cs="Times New Roman"/>
          <w:color w:val="000000" w:themeColor="text1"/>
          <w:sz w:val="24"/>
          <w:szCs w:val="24"/>
          <w:lang w:eastAsia="pt-BR"/>
        </w:rPr>
        <w:t xml:space="preserve"> anos </w:t>
      </w:r>
      <w:r w:rsidR="00060EA0" w:rsidRPr="00741A93">
        <w:rPr>
          <w:rFonts w:ascii="Century Gothic" w:eastAsia="Times New Roman" w:hAnsi="Century Gothic" w:cs="Times New Roman"/>
          <w:color w:val="000000" w:themeColor="text1"/>
          <w:sz w:val="24"/>
          <w:szCs w:val="24"/>
          <w:lang w:eastAsia="pt-BR"/>
        </w:rPr>
        <w:t>às</w:t>
      </w:r>
      <w:r w:rsidRPr="00741A93">
        <w:rPr>
          <w:rFonts w:ascii="Century Gothic" w:eastAsia="Times New Roman" w:hAnsi="Century Gothic" w:cs="Times New Roman"/>
          <w:color w:val="000000" w:themeColor="text1"/>
          <w:sz w:val="24"/>
          <w:szCs w:val="24"/>
          <w:lang w:eastAsia="pt-BR"/>
        </w:rPr>
        <w:t xml:space="preserve"> ações de revisão de aposentadoria de servidores públicos estaduais. Confira esse precedente:</w:t>
      </w:r>
    </w:p>
    <w:p w:rsidR="009A088E" w:rsidRPr="00741A93" w:rsidRDefault="009A088E" w:rsidP="00267AB2">
      <w:pPr>
        <w:shd w:val="clear" w:color="auto" w:fill="FFFFFF"/>
        <w:spacing w:after="0" w:line="360" w:lineRule="auto"/>
        <w:jc w:val="both"/>
        <w:rPr>
          <w:rFonts w:ascii="Century Gothic" w:eastAsia="Times New Roman" w:hAnsi="Century Gothic" w:cs="Times New Roman"/>
          <w:color w:val="000000" w:themeColor="text1"/>
          <w:sz w:val="24"/>
          <w:szCs w:val="24"/>
          <w:lang w:eastAsia="pt-BR"/>
        </w:rPr>
      </w:pPr>
    </w:p>
    <w:p w:rsidR="00B82B35" w:rsidRPr="00741A93" w:rsidRDefault="00B82B35" w:rsidP="009A088E">
      <w:pPr>
        <w:shd w:val="clear" w:color="auto" w:fill="FFFFFF"/>
        <w:spacing w:after="0" w:line="360" w:lineRule="auto"/>
        <w:ind w:left="1416"/>
        <w:jc w:val="both"/>
        <w:rPr>
          <w:rFonts w:ascii="Century Gothic" w:eastAsia="Times New Roman" w:hAnsi="Century Gothic" w:cs="Times New Roman"/>
          <w:i/>
          <w:color w:val="000000" w:themeColor="text1"/>
          <w:sz w:val="24"/>
          <w:szCs w:val="24"/>
          <w:lang w:eastAsia="pt-BR"/>
        </w:rPr>
      </w:pPr>
      <w:r w:rsidRPr="00741A93">
        <w:rPr>
          <w:rFonts w:ascii="Century Gothic" w:eastAsia="Times New Roman" w:hAnsi="Century Gothic" w:cs="Times New Roman"/>
          <w:i/>
          <w:color w:val="000000" w:themeColor="text1"/>
          <w:sz w:val="24"/>
          <w:szCs w:val="24"/>
          <w:lang w:eastAsia="pt-BR"/>
        </w:rPr>
        <w:t>ADMINISTRATIVO. SERVIDOR PÚBLICO ESTADUAL. REVISÃO DE APOSENTADORIA. INCLUSÃO DO TEMPO DE SERVIÇO. ATIVIDADE ANTERIOR INSALUBRE. PRESCRIÇÃO DO FUNDO DE DIREITO. OCORRÊNCIA. ART. 1º DO DECRETO 20.910/32.</w:t>
      </w:r>
    </w:p>
    <w:p w:rsidR="00B82B35" w:rsidRPr="00741A93" w:rsidRDefault="00B82B35" w:rsidP="009A088E">
      <w:pPr>
        <w:shd w:val="clear" w:color="auto" w:fill="FFFFFF"/>
        <w:spacing w:after="0" w:line="360" w:lineRule="auto"/>
        <w:ind w:left="1416"/>
        <w:jc w:val="both"/>
        <w:rPr>
          <w:rFonts w:ascii="Century Gothic" w:eastAsia="Times New Roman" w:hAnsi="Century Gothic" w:cs="Times New Roman"/>
          <w:i/>
          <w:color w:val="000000" w:themeColor="text1"/>
          <w:sz w:val="24"/>
          <w:szCs w:val="24"/>
          <w:lang w:eastAsia="pt-BR"/>
        </w:rPr>
      </w:pPr>
      <w:r w:rsidRPr="00741A93">
        <w:rPr>
          <w:rFonts w:ascii="Century Gothic" w:eastAsia="Times New Roman" w:hAnsi="Century Gothic" w:cs="Times New Roman"/>
          <w:i/>
          <w:color w:val="000000" w:themeColor="text1"/>
          <w:sz w:val="24"/>
          <w:szCs w:val="24"/>
          <w:lang w:eastAsia="pt-BR"/>
        </w:rPr>
        <w:t>1. A jurisprudência do STJ reconhece a prescrição do fundo de direito nas ações em que se visam rever ato de aposentadoria para inclusão do tempo de serviço insalubre, quando decorridos mais de cinco anos entre o ato de concessão e o ajuizamento da ação, nos termos do art. 1º do Decreto n. 20.910/32.</w:t>
      </w:r>
    </w:p>
    <w:p w:rsidR="00B82B35" w:rsidRPr="00741A93" w:rsidRDefault="00B82B35" w:rsidP="009A088E">
      <w:pPr>
        <w:shd w:val="clear" w:color="auto" w:fill="FFFFFF"/>
        <w:spacing w:after="0" w:line="360" w:lineRule="auto"/>
        <w:ind w:left="1416"/>
        <w:jc w:val="both"/>
        <w:rPr>
          <w:rFonts w:ascii="Century Gothic" w:eastAsia="Times New Roman" w:hAnsi="Century Gothic" w:cs="Times New Roman"/>
          <w:i/>
          <w:color w:val="000000" w:themeColor="text1"/>
          <w:sz w:val="24"/>
          <w:szCs w:val="24"/>
          <w:lang w:eastAsia="pt-BR"/>
        </w:rPr>
      </w:pPr>
      <w:r w:rsidRPr="00741A93">
        <w:rPr>
          <w:rFonts w:ascii="Century Gothic" w:eastAsia="Times New Roman" w:hAnsi="Century Gothic" w:cs="Times New Roman"/>
          <w:i/>
          <w:color w:val="000000" w:themeColor="text1"/>
          <w:sz w:val="24"/>
          <w:szCs w:val="24"/>
          <w:lang w:eastAsia="pt-BR"/>
        </w:rPr>
        <w:t>2. Na espécie, o ato que concedeu a aposentadoria da servidora pública estadual foi publicado em 27.8.1998, e a ação somente foi proposta em 2009, após, portanto, o prazo prescricional de cinco anos.</w:t>
      </w:r>
    </w:p>
    <w:p w:rsidR="00B82B35" w:rsidRPr="00741A93" w:rsidRDefault="00B82B35" w:rsidP="009A088E">
      <w:pPr>
        <w:shd w:val="clear" w:color="auto" w:fill="FFFFFF"/>
        <w:spacing w:after="0" w:line="360" w:lineRule="auto"/>
        <w:ind w:left="1416"/>
        <w:jc w:val="both"/>
        <w:rPr>
          <w:rFonts w:ascii="Century Gothic" w:eastAsia="Times New Roman" w:hAnsi="Century Gothic" w:cs="Times New Roman"/>
          <w:i/>
          <w:color w:val="000000" w:themeColor="text1"/>
          <w:sz w:val="24"/>
          <w:szCs w:val="24"/>
          <w:lang w:eastAsia="pt-BR"/>
        </w:rPr>
      </w:pPr>
      <w:r w:rsidRPr="00741A93">
        <w:rPr>
          <w:rFonts w:ascii="Century Gothic" w:eastAsia="Times New Roman" w:hAnsi="Century Gothic" w:cs="Times New Roman"/>
          <w:i/>
          <w:color w:val="000000" w:themeColor="text1"/>
          <w:sz w:val="24"/>
          <w:szCs w:val="24"/>
          <w:lang w:eastAsia="pt-BR"/>
        </w:rPr>
        <w:t>3. Recurso especial provido.</w:t>
      </w:r>
    </w:p>
    <w:p w:rsidR="00B82B35" w:rsidRPr="00741A93" w:rsidRDefault="00B82B35" w:rsidP="009A088E">
      <w:pPr>
        <w:shd w:val="clear" w:color="auto" w:fill="FFFFFF"/>
        <w:spacing w:after="0" w:line="360" w:lineRule="auto"/>
        <w:ind w:left="1416"/>
        <w:jc w:val="both"/>
        <w:rPr>
          <w:rFonts w:ascii="Century Gothic" w:eastAsia="Times New Roman" w:hAnsi="Century Gothic" w:cs="Times New Roman"/>
          <w:i/>
          <w:color w:val="000000" w:themeColor="text1"/>
          <w:sz w:val="24"/>
          <w:szCs w:val="24"/>
          <w:lang w:eastAsia="pt-BR"/>
        </w:rPr>
      </w:pPr>
      <w:r w:rsidRPr="00741A93">
        <w:rPr>
          <w:rFonts w:ascii="Century Gothic" w:eastAsia="Times New Roman" w:hAnsi="Century Gothic" w:cs="Times New Roman"/>
          <w:i/>
          <w:color w:val="000000" w:themeColor="text1"/>
          <w:sz w:val="24"/>
          <w:szCs w:val="24"/>
          <w:lang w:eastAsia="pt-BR"/>
        </w:rPr>
        <w:t xml:space="preserve">STJ. 2ª Turma. </w:t>
      </w:r>
      <w:proofErr w:type="spellStart"/>
      <w:proofErr w:type="gramStart"/>
      <w:r w:rsidRPr="00741A93">
        <w:rPr>
          <w:rFonts w:ascii="Century Gothic" w:eastAsia="Times New Roman" w:hAnsi="Century Gothic" w:cs="Times New Roman"/>
          <w:i/>
          <w:color w:val="000000" w:themeColor="text1"/>
          <w:sz w:val="24"/>
          <w:szCs w:val="24"/>
          <w:lang w:eastAsia="pt-BR"/>
        </w:rPr>
        <w:t>REsp</w:t>
      </w:r>
      <w:proofErr w:type="spellEnd"/>
      <w:proofErr w:type="gramEnd"/>
      <w:r w:rsidRPr="00741A93">
        <w:rPr>
          <w:rFonts w:ascii="Century Gothic" w:eastAsia="Times New Roman" w:hAnsi="Century Gothic" w:cs="Times New Roman"/>
          <w:i/>
          <w:color w:val="000000" w:themeColor="text1"/>
          <w:sz w:val="24"/>
          <w:szCs w:val="24"/>
          <w:lang w:eastAsia="pt-BR"/>
        </w:rPr>
        <w:t xml:space="preserve"> 1254894/SC, Rel. Min. Mauro Campbell Marques,  julgado em 16/06/2011.</w:t>
      </w:r>
    </w:p>
    <w:p w:rsidR="00874DB0" w:rsidRPr="00741A93" w:rsidRDefault="00874DB0" w:rsidP="00267AB2">
      <w:pPr>
        <w:spacing w:line="360" w:lineRule="auto"/>
        <w:jc w:val="both"/>
        <w:rPr>
          <w:rFonts w:ascii="Century Gothic" w:hAnsi="Century Gothic"/>
          <w:color w:val="000000" w:themeColor="text1"/>
          <w:sz w:val="24"/>
          <w:szCs w:val="24"/>
          <w:shd w:val="clear" w:color="auto" w:fill="FFFFFF"/>
        </w:rPr>
      </w:pPr>
    </w:p>
    <w:p w:rsidR="00B82B35" w:rsidRPr="00741A93" w:rsidRDefault="00B82B35" w:rsidP="00267AB2">
      <w:pPr>
        <w:spacing w:line="360" w:lineRule="auto"/>
        <w:jc w:val="both"/>
        <w:rPr>
          <w:rFonts w:ascii="Century Gothic" w:hAnsi="Century Gothic"/>
          <w:color w:val="000000" w:themeColor="text1"/>
          <w:sz w:val="24"/>
          <w:szCs w:val="24"/>
          <w:shd w:val="clear" w:color="auto" w:fill="FFFFFF"/>
        </w:rPr>
      </w:pPr>
      <w:r w:rsidRPr="00741A93">
        <w:rPr>
          <w:rFonts w:ascii="Century Gothic" w:hAnsi="Century Gothic"/>
          <w:color w:val="000000" w:themeColor="text1"/>
          <w:sz w:val="24"/>
          <w:szCs w:val="24"/>
          <w:shd w:val="clear" w:color="auto" w:fill="FFFFFF"/>
        </w:rPr>
        <w:t xml:space="preserve">A Corte entendeu que a aposentadoria do servidor público é concedida por um único ato (ato complexo) e que, a partir dessa concessão inicia-se a pretensão do aposentado de exigir a sua revisão. Superado esse prazo de </w:t>
      </w:r>
      <w:proofErr w:type="gramStart"/>
      <w:r w:rsidRPr="00741A93">
        <w:rPr>
          <w:rFonts w:ascii="Century Gothic" w:hAnsi="Century Gothic"/>
          <w:color w:val="000000" w:themeColor="text1"/>
          <w:sz w:val="24"/>
          <w:szCs w:val="24"/>
          <w:shd w:val="clear" w:color="auto" w:fill="FFFFFF"/>
        </w:rPr>
        <w:t>5</w:t>
      </w:r>
      <w:proofErr w:type="gramEnd"/>
      <w:r w:rsidRPr="00741A93">
        <w:rPr>
          <w:rFonts w:ascii="Century Gothic" w:hAnsi="Century Gothic"/>
          <w:color w:val="000000" w:themeColor="text1"/>
          <w:sz w:val="24"/>
          <w:szCs w:val="24"/>
          <w:shd w:val="clear" w:color="auto" w:fill="FFFFFF"/>
        </w:rPr>
        <w:t xml:space="preserve"> anos, extingue-se não apenas a pretensão de receber as parcelas em atraso, mas também o próprio “fundo de direito”, ou seja, não há mais como fazer a revisão.</w:t>
      </w:r>
    </w:p>
    <w:p w:rsidR="00060EA0" w:rsidRPr="00741A93" w:rsidRDefault="00F66BBE" w:rsidP="00267AB2">
      <w:pPr>
        <w:spacing w:line="360" w:lineRule="auto"/>
        <w:jc w:val="both"/>
        <w:rPr>
          <w:rFonts w:ascii="Century Gothic" w:hAnsi="Century Gothic"/>
          <w:color w:val="000000" w:themeColor="text1"/>
          <w:sz w:val="24"/>
          <w:szCs w:val="24"/>
        </w:rPr>
      </w:pPr>
      <w:r w:rsidRPr="00741A93">
        <w:rPr>
          <w:rFonts w:ascii="Century Gothic" w:hAnsi="Century Gothic"/>
          <w:color w:val="000000" w:themeColor="text1"/>
          <w:sz w:val="24"/>
          <w:szCs w:val="24"/>
          <w:shd w:val="clear" w:color="auto" w:fill="FFFFFF"/>
        </w:rPr>
        <w:t xml:space="preserve">Outra questão que tem despertado dúvida é quanto o início da </w:t>
      </w:r>
      <w:r w:rsidR="00060EA0" w:rsidRPr="00741A93">
        <w:rPr>
          <w:rFonts w:ascii="Century Gothic" w:hAnsi="Century Gothic"/>
          <w:color w:val="000000" w:themeColor="text1"/>
          <w:sz w:val="24"/>
          <w:szCs w:val="24"/>
          <w:shd w:val="clear" w:color="auto" w:fill="FFFFFF"/>
        </w:rPr>
        <w:t>fluência desse prazo</w:t>
      </w:r>
      <w:r w:rsidRPr="00741A93">
        <w:rPr>
          <w:rFonts w:ascii="Century Gothic" w:hAnsi="Century Gothic"/>
          <w:color w:val="000000" w:themeColor="text1"/>
          <w:sz w:val="24"/>
          <w:szCs w:val="24"/>
          <w:shd w:val="clear" w:color="auto" w:fill="FFFFFF"/>
        </w:rPr>
        <w:t xml:space="preserve"> quinquenal para revisão do ato de aposentadoria ou pensão</w:t>
      </w:r>
      <w:r w:rsidR="00060EA0" w:rsidRPr="00741A93">
        <w:rPr>
          <w:rFonts w:ascii="Century Gothic" w:hAnsi="Century Gothic"/>
          <w:color w:val="000000" w:themeColor="text1"/>
          <w:sz w:val="24"/>
          <w:szCs w:val="24"/>
          <w:shd w:val="clear" w:color="auto" w:fill="FFFFFF"/>
        </w:rPr>
        <w:t>.</w:t>
      </w:r>
    </w:p>
    <w:p w:rsidR="004937AB" w:rsidRPr="00741A93" w:rsidRDefault="00F66BBE" w:rsidP="00267AB2">
      <w:pPr>
        <w:spacing w:line="360" w:lineRule="auto"/>
        <w:ind w:right="-568"/>
        <w:jc w:val="both"/>
        <w:rPr>
          <w:rFonts w:ascii="Century Gothic" w:hAnsi="Century Gothic" w:cs="Arial"/>
          <w:i/>
          <w:color w:val="000000" w:themeColor="text1"/>
          <w:sz w:val="24"/>
          <w:szCs w:val="24"/>
        </w:rPr>
      </w:pPr>
      <w:r w:rsidRPr="00741A93">
        <w:rPr>
          <w:rFonts w:ascii="Century Gothic" w:hAnsi="Century Gothic" w:cs="Arial"/>
          <w:color w:val="000000" w:themeColor="text1"/>
          <w:sz w:val="24"/>
          <w:szCs w:val="24"/>
        </w:rPr>
        <w:t>É sabido que o ato de concessão de aposentadoria ou pensão não é</w:t>
      </w:r>
      <w:r w:rsidR="004937AB" w:rsidRPr="00741A93">
        <w:rPr>
          <w:rFonts w:ascii="Century Gothic" w:hAnsi="Century Gothic" w:cs="Arial"/>
          <w:color w:val="000000" w:themeColor="text1"/>
          <w:sz w:val="24"/>
          <w:szCs w:val="24"/>
        </w:rPr>
        <w:t xml:space="preserve"> instantâneo, eis que depende de uma série de providências preliminares </w:t>
      </w:r>
      <w:r w:rsidR="004937AB" w:rsidRPr="00741A93">
        <w:rPr>
          <w:rFonts w:ascii="Century Gothic" w:hAnsi="Century Gothic" w:cs="Arial"/>
          <w:color w:val="000000" w:themeColor="text1"/>
          <w:sz w:val="24"/>
          <w:szCs w:val="24"/>
        </w:rPr>
        <w:lastRenderedPageBreak/>
        <w:t>administrativas até que seu ciclo de formação esteja definitivamente concluído, isto é, com a homologação do Tribunal de Contas do Estado</w:t>
      </w:r>
      <w:r w:rsidR="004937AB" w:rsidRPr="00741A93">
        <w:rPr>
          <w:rFonts w:ascii="Century Gothic" w:hAnsi="Century Gothic" w:cs="Arial"/>
          <w:b/>
          <w:color w:val="000000" w:themeColor="text1"/>
          <w:sz w:val="24"/>
          <w:szCs w:val="24"/>
          <w:u w:val="single"/>
        </w:rPr>
        <w:t>, Órgão responsável pela análise e controle da legalidade, conforme preceitua o próprio art. 71, III da Constituição Federal de 1988</w:t>
      </w:r>
      <w:r w:rsidR="004937AB" w:rsidRPr="00741A93">
        <w:rPr>
          <w:rFonts w:ascii="Century Gothic" w:hAnsi="Century Gothic" w:cs="Arial"/>
          <w:i/>
          <w:color w:val="000000" w:themeColor="text1"/>
          <w:sz w:val="24"/>
          <w:szCs w:val="24"/>
        </w:rPr>
        <w:t xml:space="preserve">, in </w:t>
      </w:r>
      <w:proofErr w:type="spellStart"/>
      <w:r w:rsidR="004937AB" w:rsidRPr="00741A93">
        <w:rPr>
          <w:rFonts w:ascii="Century Gothic" w:hAnsi="Century Gothic" w:cs="Arial"/>
          <w:i/>
          <w:color w:val="000000" w:themeColor="text1"/>
          <w:sz w:val="24"/>
          <w:szCs w:val="24"/>
        </w:rPr>
        <w:t>verbis</w:t>
      </w:r>
      <w:proofErr w:type="spellEnd"/>
      <w:r w:rsidR="004937AB" w:rsidRPr="00741A93">
        <w:rPr>
          <w:rFonts w:ascii="Century Gothic" w:hAnsi="Century Gothic" w:cs="Arial"/>
          <w:i/>
          <w:color w:val="000000" w:themeColor="text1"/>
          <w:sz w:val="24"/>
          <w:szCs w:val="24"/>
        </w:rPr>
        <w:t>:</w:t>
      </w:r>
    </w:p>
    <w:p w:rsidR="004937AB" w:rsidRPr="00741A93" w:rsidRDefault="004937AB" w:rsidP="00267AB2">
      <w:pPr>
        <w:pStyle w:val="NormalWeb"/>
        <w:shd w:val="clear" w:color="auto" w:fill="FFFFFF"/>
        <w:spacing w:line="360" w:lineRule="auto"/>
        <w:ind w:left="2124" w:right="-568"/>
        <w:jc w:val="both"/>
        <w:rPr>
          <w:rFonts w:ascii="Century Gothic" w:hAnsi="Century Gothic" w:cs="Arial"/>
          <w:i/>
          <w:color w:val="000000" w:themeColor="text1"/>
        </w:rPr>
      </w:pPr>
      <w:r w:rsidRPr="00741A93">
        <w:rPr>
          <w:rFonts w:ascii="Century Gothic" w:hAnsi="Century Gothic" w:cs="Arial"/>
          <w:i/>
          <w:color w:val="000000" w:themeColor="text1"/>
        </w:rPr>
        <w:t xml:space="preserve">Art. 71. O controle externo, a cargo do Congresso Nacional, será exercido com o auxílio do </w:t>
      </w:r>
      <w:r w:rsidRPr="00741A93">
        <w:rPr>
          <w:rFonts w:ascii="Century Gothic" w:hAnsi="Century Gothic" w:cs="Arial"/>
          <w:b/>
          <w:i/>
          <w:color w:val="000000" w:themeColor="text1"/>
        </w:rPr>
        <w:t>Tribunal de Contas</w:t>
      </w:r>
      <w:r w:rsidRPr="00741A93">
        <w:rPr>
          <w:rFonts w:ascii="Century Gothic" w:hAnsi="Century Gothic" w:cs="Arial"/>
          <w:i/>
          <w:color w:val="000000" w:themeColor="text1"/>
        </w:rPr>
        <w:t xml:space="preserve"> da União, ao qual compete:</w:t>
      </w:r>
    </w:p>
    <w:p w:rsidR="004937AB" w:rsidRPr="00741A93" w:rsidRDefault="004937AB" w:rsidP="00267AB2">
      <w:pPr>
        <w:pStyle w:val="NormalWeb"/>
        <w:shd w:val="clear" w:color="auto" w:fill="FFFFFF"/>
        <w:spacing w:line="360" w:lineRule="auto"/>
        <w:ind w:left="2124" w:right="-568"/>
        <w:jc w:val="both"/>
        <w:rPr>
          <w:rFonts w:ascii="Century Gothic" w:hAnsi="Century Gothic" w:cs="Arial"/>
          <w:i/>
          <w:color w:val="000000" w:themeColor="text1"/>
        </w:rPr>
      </w:pPr>
      <w:r w:rsidRPr="00741A93">
        <w:rPr>
          <w:rFonts w:ascii="Century Gothic" w:hAnsi="Century Gothic" w:cs="Arial"/>
          <w:i/>
          <w:color w:val="000000" w:themeColor="text1"/>
        </w:rPr>
        <w:t>(...)</w:t>
      </w:r>
    </w:p>
    <w:p w:rsidR="004937AB" w:rsidRPr="00741A93" w:rsidRDefault="004937AB" w:rsidP="00267AB2">
      <w:pPr>
        <w:pStyle w:val="NormalWeb"/>
        <w:shd w:val="clear" w:color="auto" w:fill="FFFFFF"/>
        <w:spacing w:line="360" w:lineRule="auto"/>
        <w:ind w:left="2124" w:right="-568"/>
        <w:jc w:val="both"/>
        <w:rPr>
          <w:rFonts w:ascii="Century Gothic" w:hAnsi="Century Gothic" w:cs="Arial"/>
          <w:color w:val="000000" w:themeColor="text1"/>
        </w:rPr>
      </w:pPr>
      <w:r w:rsidRPr="00741A93">
        <w:rPr>
          <w:rFonts w:ascii="Century Gothic" w:hAnsi="Century Gothic" w:cs="Arial"/>
          <w:i/>
          <w:color w:val="000000" w:themeColor="text1"/>
        </w:rPr>
        <w:t xml:space="preserve">III - </w:t>
      </w:r>
      <w:r w:rsidRPr="00741A93">
        <w:rPr>
          <w:rFonts w:ascii="Century Gothic" w:hAnsi="Century Gothic" w:cs="Arial"/>
          <w:b/>
          <w:i/>
          <w:color w:val="000000" w:themeColor="text1"/>
          <w:u w:val="single"/>
        </w:rPr>
        <w:t>apreciar, para fins de registro, a legalidade dos atos de</w:t>
      </w:r>
      <w:r w:rsidRPr="00741A93">
        <w:rPr>
          <w:rFonts w:ascii="Century Gothic" w:hAnsi="Century Gothic" w:cs="Arial"/>
          <w:i/>
          <w:color w:val="000000" w:themeColor="text1"/>
        </w:rPr>
        <w:t xml:space="preserve"> admissão de pessoal, a qualquer título, na administração direta e </w:t>
      </w:r>
      <w:proofErr w:type="gramStart"/>
      <w:r w:rsidRPr="00741A93">
        <w:rPr>
          <w:rFonts w:ascii="Century Gothic" w:hAnsi="Century Gothic" w:cs="Arial"/>
          <w:i/>
          <w:color w:val="000000" w:themeColor="text1"/>
        </w:rPr>
        <w:t>indireta, incluídas</w:t>
      </w:r>
      <w:proofErr w:type="gramEnd"/>
      <w:r w:rsidRPr="00741A93">
        <w:rPr>
          <w:rFonts w:ascii="Century Gothic" w:hAnsi="Century Gothic" w:cs="Arial"/>
          <w:i/>
          <w:color w:val="000000" w:themeColor="text1"/>
        </w:rPr>
        <w:t xml:space="preserve"> as fundações instituídas e mantidas pelo Poder Público, excetuadas as nomeações para cargo de provimento em comissão, bem como a </w:t>
      </w:r>
      <w:r w:rsidRPr="00741A93">
        <w:rPr>
          <w:rFonts w:ascii="Century Gothic" w:hAnsi="Century Gothic" w:cs="Arial"/>
          <w:b/>
          <w:i/>
          <w:color w:val="000000" w:themeColor="text1"/>
          <w:u w:val="single"/>
        </w:rPr>
        <w:t>das concessões de aposentadorias, reformas e pensões</w:t>
      </w:r>
      <w:r w:rsidRPr="00741A93">
        <w:rPr>
          <w:rFonts w:ascii="Century Gothic" w:hAnsi="Century Gothic" w:cs="Arial"/>
          <w:i/>
          <w:color w:val="000000" w:themeColor="text1"/>
        </w:rPr>
        <w:t>, ressalvadas as melhorias posteriores que não alterem o fundamento legal do ato concessório;</w:t>
      </w:r>
      <w:r w:rsidRPr="00741A93">
        <w:rPr>
          <w:rFonts w:ascii="Century Gothic" w:hAnsi="Century Gothic" w:cs="Arial"/>
          <w:i/>
          <w:color w:val="000000" w:themeColor="text1"/>
        </w:rPr>
        <w:tab/>
      </w:r>
      <w:r w:rsidRPr="00741A93">
        <w:rPr>
          <w:rFonts w:ascii="Century Gothic" w:hAnsi="Century Gothic" w:cs="Arial"/>
          <w:i/>
          <w:color w:val="000000" w:themeColor="text1"/>
        </w:rPr>
        <w:tab/>
      </w:r>
      <w:r w:rsidRPr="00741A93">
        <w:rPr>
          <w:rFonts w:ascii="Century Gothic" w:hAnsi="Century Gothic" w:cs="Arial"/>
          <w:i/>
          <w:color w:val="000000" w:themeColor="text1"/>
        </w:rPr>
        <w:tab/>
      </w:r>
      <w:r w:rsidRPr="00741A93">
        <w:rPr>
          <w:rFonts w:ascii="Century Gothic" w:hAnsi="Century Gothic" w:cs="Arial"/>
          <w:i/>
          <w:color w:val="000000" w:themeColor="text1"/>
        </w:rPr>
        <w:tab/>
      </w:r>
      <w:r w:rsidRPr="00741A93">
        <w:rPr>
          <w:rFonts w:ascii="Century Gothic" w:hAnsi="Century Gothic" w:cs="Arial"/>
          <w:i/>
          <w:color w:val="000000" w:themeColor="text1"/>
        </w:rPr>
        <w:tab/>
      </w:r>
      <w:r w:rsidRPr="00741A93">
        <w:rPr>
          <w:rFonts w:ascii="Century Gothic" w:hAnsi="Century Gothic" w:cs="Arial"/>
          <w:color w:val="000000" w:themeColor="text1"/>
        </w:rPr>
        <w:t>(grifei)</w:t>
      </w:r>
    </w:p>
    <w:p w:rsidR="004937AB" w:rsidRPr="00741A93" w:rsidRDefault="004937AB" w:rsidP="00267AB2">
      <w:pPr>
        <w:spacing w:line="360" w:lineRule="auto"/>
        <w:ind w:right="-568"/>
        <w:jc w:val="both"/>
        <w:rPr>
          <w:rFonts w:ascii="Century Gothic" w:hAnsi="Century Gothic" w:cs="Arial"/>
          <w:color w:val="000000" w:themeColor="text1"/>
          <w:sz w:val="24"/>
          <w:szCs w:val="24"/>
        </w:rPr>
      </w:pPr>
      <w:r w:rsidRPr="00741A93">
        <w:rPr>
          <w:rFonts w:ascii="Century Gothic" w:hAnsi="Century Gothic" w:cs="Arial"/>
          <w:color w:val="000000" w:themeColor="text1"/>
          <w:sz w:val="24"/>
          <w:szCs w:val="24"/>
        </w:rPr>
        <w:t xml:space="preserve">Como se ressaltou, por se tratar de um ato que depende da manifestação do Tribunal de Contas para que se complete o seu ciclo de formação, o ato de aposentadoria </w:t>
      </w:r>
      <w:r w:rsidR="00060EA0" w:rsidRPr="00741A93">
        <w:rPr>
          <w:rFonts w:ascii="Century Gothic" w:hAnsi="Century Gothic" w:cs="Arial"/>
          <w:color w:val="000000" w:themeColor="text1"/>
          <w:sz w:val="24"/>
          <w:szCs w:val="24"/>
        </w:rPr>
        <w:t xml:space="preserve">ou de pensão por morte </w:t>
      </w:r>
      <w:r w:rsidRPr="00741A93">
        <w:rPr>
          <w:rFonts w:ascii="Century Gothic" w:hAnsi="Century Gothic" w:cs="Arial"/>
          <w:color w:val="000000" w:themeColor="text1"/>
          <w:sz w:val="24"/>
          <w:szCs w:val="24"/>
        </w:rPr>
        <w:t>só se considera pronto e acabado com a respectiva homologação.</w:t>
      </w:r>
    </w:p>
    <w:p w:rsidR="004937AB" w:rsidRPr="00741A93" w:rsidRDefault="004937AB" w:rsidP="00267AB2">
      <w:pPr>
        <w:spacing w:line="360" w:lineRule="auto"/>
        <w:ind w:right="-568"/>
        <w:jc w:val="both"/>
        <w:rPr>
          <w:rFonts w:ascii="Century Gothic" w:hAnsi="Century Gothic" w:cs="Arial"/>
          <w:color w:val="000000" w:themeColor="text1"/>
          <w:sz w:val="24"/>
          <w:szCs w:val="24"/>
        </w:rPr>
      </w:pPr>
      <w:r w:rsidRPr="00741A93">
        <w:rPr>
          <w:rFonts w:ascii="Century Gothic" w:hAnsi="Century Gothic" w:cs="Arial"/>
          <w:color w:val="000000" w:themeColor="text1"/>
          <w:sz w:val="24"/>
          <w:szCs w:val="24"/>
        </w:rPr>
        <w:t xml:space="preserve">Ressalta-se aqui que há entendimento adotado pelo egrégio Tribunal de Justiça do Mato Grosso do Sul no sentido de que o </w:t>
      </w:r>
      <w:r w:rsidRPr="00741A93">
        <w:rPr>
          <w:rFonts w:ascii="Century Gothic" w:hAnsi="Century Gothic" w:cs="Arial"/>
          <w:i/>
          <w:color w:val="000000" w:themeColor="text1"/>
          <w:sz w:val="24"/>
          <w:szCs w:val="24"/>
        </w:rPr>
        <w:t>dies a quo</w:t>
      </w:r>
      <w:r w:rsidRPr="00741A93">
        <w:rPr>
          <w:rFonts w:ascii="Century Gothic" w:hAnsi="Century Gothic" w:cs="Arial"/>
          <w:color w:val="000000" w:themeColor="text1"/>
          <w:sz w:val="24"/>
          <w:szCs w:val="24"/>
        </w:rPr>
        <w:t xml:space="preserve"> do prazo decadencial seria a data do envio do processo para a Corte de Contas.</w:t>
      </w:r>
    </w:p>
    <w:p w:rsidR="004937AB" w:rsidRPr="00741A93" w:rsidRDefault="00F57A32" w:rsidP="00F66BBE">
      <w:pPr>
        <w:pStyle w:val="Ttulo2"/>
        <w:shd w:val="clear" w:color="auto" w:fill="FFFFFF"/>
        <w:spacing w:before="0" w:beforeAutospacing="0" w:after="0" w:afterAutospacing="0" w:line="360" w:lineRule="auto"/>
        <w:ind w:left="1416" w:right="-568"/>
        <w:jc w:val="both"/>
        <w:rPr>
          <w:rFonts w:ascii="Century Gothic" w:hAnsi="Century Gothic" w:cs="Arial"/>
          <w:i/>
          <w:color w:val="000000" w:themeColor="text1"/>
          <w:sz w:val="24"/>
          <w:szCs w:val="24"/>
        </w:rPr>
      </w:pPr>
      <w:hyperlink r:id="rId8" w:history="1">
        <w:r w:rsidR="004937AB" w:rsidRPr="00741A93">
          <w:rPr>
            <w:rStyle w:val="Hyperlink"/>
            <w:rFonts w:ascii="Century Gothic" w:hAnsi="Century Gothic" w:cs="Arial"/>
            <w:i/>
            <w:color w:val="000000" w:themeColor="text1"/>
            <w:sz w:val="24"/>
            <w:szCs w:val="24"/>
            <w:bdr w:val="none" w:sz="0" w:space="0" w:color="auto" w:frame="1"/>
          </w:rPr>
          <w:t>TNU - PEDIDO DE UNIFORMIZAÇÃO DE INTERPRETAÇÃO DE LEI FEDERAL PEDILEF 05064314620144058400 (TNU)</w:t>
        </w:r>
      </w:hyperlink>
    </w:p>
    <w:p w:rsidR="004937AB" w:rsidRPr="00741A93" w:rsidRDefault="004937AB" w:rsidP="00F66BBE">
      <w:pPr>
        <w:pStyle w:val="info"/>
        <w:shd w:val="clear" w:color="auto" w:fill="FFFFFF"/>
        <w:spacing w:before="120" w:beforeAutospacing="0" w:after="0" w:afterAutospacing="0" w:line="360" w:lineRule="auto"/>
        <w:ind w:left="1416" w:right="-568"/>
        <w:jc w:val="both"/>
        <w:rPr>
          <w:rFonts w:ascii="Century Gothic" w:hAnsi="Century Gothic" w:cs="Arial"/>
          <w:b/>
          <w:bCs/>
          <w:i/>
          <w:color w:val="000000" w:themeColor="text1"/>
        </w:rPr>
      </w:pPr>
      <w:r w:rsidRPr="00741A93">
        <w:rPr>
          <w:rFonts w:ascii="Century Gothic" w:hAnsi="Century Gothic" w:cs="Arial"/>
          <w:b/>
          <w:bCs/>
          <w:i/>
          <w:color w:val="000000" w:themeColor="text1"/>
        </w:rPr>
        <w:t>Data de publicação: 05/02/2016</w:t>
      </w:r>
    </w:p>
    <w:p w:rsidR="004937AB" w:rsidRPr="00741A93" w:rsidRDefault="004937AB" w:rsidP="00F66BBE">
      <w:pPr>
        <w:pStyle w:val="snippet"/>
        <w:shd w:val="clear" w:color="auto" w:fill="FFFFFF"/>
        <w:spacing w:before="0" w:beforeAutospacing="0" w:after="0" w:afterAutospacing="0" w:line="360" w:lineRule="auto"/>
        <w:ind w:left="1416" w:right="-568"/>
        <w:jc w:val="both"/>
        <w:rPr>
          <w:rFonts w:ascii="Century Gothic" w:hAnsi="Century Gothic" w:cs="Arial"/>
          <w:i/>
          <w:color w:val="000000" w:themeColor="text1"/>
        </w:rPr>
      </w:pPr>
      <w:r w:rsidRPr="00741A93">
        <w:rPr>
          <w:rStyle w:val="Forte"/>
          <w:rFonts w:ascii="Century Gothic" w:hAnsi="Century Gothic" w:cs="Arial"/>
          <w:i/>
          <w:color w:val="000000" w:themeColor="text1"/>
          <w:bdr w:val="none" w:sz="0" w:space="0" w:color="auto" w:frame="1"/>
        </w:rPr>
        <w:lastRenderedPageBreak/>
        <w:t>Ementa: </w:t>
      </w:r>
      <w:r w:rsidRPr="00741A93">
        <w:rPr>
          <w:rFonts w:ascii="Century Gothic" w:hAnsi="Century Gothic" w:cs="Arial"/>
          <w:i/>
          <w:color w:val="000000" w:themeColor="text1"/>
        </w:rPr>
        <w:t>Pleno, MS 24268/MG, rel. p/ acórdão Min. Gilmar Mendes, DJ 17.09.2004, p. 53). 5. Já nas hipóteses em que (II) o TCU ainda não julgou a legalidade e nem procedeu ao registro das </w:t>
      </w:r>
      <w:r w:rsidRPr="00741A93">
        <w:rPr>
          <w:rFonts w:ascii="Century Gothic" w:hAnsi="Century Gothic" w:cs="Arial"/>
          <w:b/>
          <w:bCs/>
          <w:i/>
          <w:color w:val="000000" w:themeColor="text1"/>
        </w:rPr>
        <w:t>aposentadorias</w:t>
      </w:r>
      <w:r w:rsidRPr="00741A93">
        <w:rPr>
          <w:rFonts w:ascii="Century Gothic" w:hAnsi="Century Gothic" w:cs="Arial"/>
          <w:i/>
          <w:color w:val="000000" w:themeColor="text1"/>
        </w:rPr>
        <w:t>, pensões e reformas (</w:t>
      </w:r>
      <w:r w:rsidRPr="00741A93">
        <w:rPr>
          <w:rFonts w:ascii="Century Gothic" w:hAnsi="Century Gothic" w:cs="Arial"/>
          <w:b/>
          <w:bCs/>
          <w:i/>
          <w:color w:val="000000" w:themeColor="text1"/>
        </w:rPr>
        <w:t>ato</w:t>
      </w:r>
      <w:r w:rsidRPr="00741A93">
        <w:rPr>
          <w:rFonts w:ascii="Century Gothic" w:hAnsi="Century Gothic" w:cs="Arial"/>
          <w:i/>
          <w:color w:val="000000" w:themeColor="text1"/>
        </w:rPr>
        <w:t> complexo não aperfeiçoado, portanto), o regime será o seguinte: a) não se opera a decadência prevista no art. 54 da Lei 9.784 /99 no período compreendido entre o </w:t>
      </w:r>
      <w:r w:rsidRPr="00741A93">
        <w:rPr>
          <w:rFonts w:ascii="Century Gothic" w:hAnsi="Century Gothic" w:cs="Arial"/>
          <w:b/>
          <w:bCs/>
          <w:i/>
          <w:color w:val="000000" w:themeColor="text1"/>
        </w:rPr>
        <w:t xml:space="preserve">ato </w:t>
      </w:r>
      <w:r w:rsidRPr="00741A93">
        <w:rPr>
          <w:rFonts w:ascii="Century Gothic" w:hAnsi="Century Gothic" w:cs="Arial"/>
          <w:i/>
          <w:color w:val="000000" w:themeColor="text1"/>
        </w:rPr>
        <w:t>administrativo </w:t>
      </w:r>
      <w:r w:rsidRPr="00741A93">
        <w:rPr>
          <w:rFonts w:ascii="Century Gothic" w:hAnsi="Century Gothic" w:cs="Arial"/>
          <w:b/>
          <w:bCs/>
          <w:i/>
          <w:color w:val="000000" w:themeColor="text1"/>
        </w:rPr>
        <w:t>concessivo</w:t>
      </w:r>
      <w:r w:rsidRPr="00741A93">
        <w:rPr>
          <w:rFonts w:ascii="Century Gothic" w:hAnsi="Century Gothic" w:cs="Arial"/>
          <w:i/>
          <w:color w:val="000000" w:themeColor="text1"/>
        </w:rPr>
        <w:t> de </w:t>
      </w:r>
      <w:r w:rsidRPr="00741A93">
        <w:rPr>
          <w:rFonts w:ascii="Century Gothic" w:hAnsi="Century Gothic" w:cs="Arial"/>
          <w:b/>
          <w:bCs/>
          <w:i/>
          <w:color w:val="000000" w:themeColor="text1"/>
        </w:rPr>
        <w:t>aposentadoria</w:t>
      </w:r>
      <w:r w:rsidRPr="00741A93">
        <w:rPr>
          <w:rFonts w:ascii="Century Gothic" w:hAnsi="Century Gothic" w:cs="Arial"/>
          <w:i/>
          <w:color w:val="000000" w:themeColor="text1"/>
        </w:rPr>
        <w:t xml:space="preserve"> ou pensão e o posterior julgamento de sua legalidade e registro pelo TCU – que consubstancia o exercício da competência constitucional de controle externo (art. </w:t>
      </w:r>
      <w:proofErr w:type="gramStart"/>
      <w:r w:rsidRPr="00741A93">
        <w:rPr>
          <w:rFonts w:ascii="Century Gothic" w:hAnsi="Century Gothic" w:cs="Arial"/>
          <w:i/>
          <w:color w:val="000000" w:themeColor="text1"/>
        </w:rPr>
        <w:t>71 ,</w:t>
      </w:r>
      <w:proofErr w:type="gramEnd"/>
      <w:r w:rsidRPr="00741A93">
        <w:rPr>
          <w:rFonts w:ascii="Century Gothic" w:hAnsi="Century Gothic" w:cs="Arial"/>
          <w:i/>
          <w:color w:val="000000" w:themeColor="text1"/>
        </w:rPr>
        <w:t xml:space="preserve"> III , CF )– por ser o </w:t>
      </w:r>
      <w:r w:rsidRPr="00741A93">
        <w:rPr>
          <w:rFonts w:ascii="Century Gothic" w:hAnsi="Century Gothic" w:cs="Arial"/>
          <w:b/>
          <w:bCs/>
          <w:i/>
          <w:color w:val="000000" w:themeColor="text1"/>
        </w:rPr>
        <w:t>ato</w:t>
      </w:r>
      <w:r w:rsidRPr="00741A93">
        <w:rPr>
          <w:rFonts w:ascii="Century Gothic" w:hAnsi="Century Gothic" w:cs="Arial"/>
          <w:i/>
          <w:color w:val="000000" w:themeColor="text1"/>
        </w:rPr>
        <w:t> de </w:t>
      </w:r>
      <w:r w:rsidRPr="00741A93">
        <w:rPr>
          <w:rFonts w:ascii="Century Gothic" w:hAnsi="Century Gothic" w:cs="Arial"/>
          <w:b/>
          <w:bCs/>
          <w:i/>
          <w:color w:val="000000" w:themeColor="text1"/>
        </w:rPr>
        <w:t xml:space="preserve">aposentadoria </w:t>
      </w:r>
      <w:r w:rsidRPr="00741A93">
        <w:rPr>
          <w:rFonts w:ascii="Century Gothic" w:hAnsi="Century Gothic" w:cs="Arial"/>
          <w:i/>
          <w:color w:val="000000" w:themeColor="text1"/>
        </w:rPr>
        <w:t>complexo e sujeito à homologação pelo Colegiado de Contas; b) exige-se que o TCU assegure a ampla defesa e o contraditório nos casos em que o controle externo de legalidade exercido pela Corte de Contas, para registro de </w:t>
      </w:r>
      <w:r w:rsidRPr="00741A93">
        <w:rPr>
          <w:rFonts w:ascii="Century Gothic" w:hAnsi="Century Gothic" w:cs="Arial"/>
          <w:b/>
          <w:bCs/>
          <w:i/>
          <w:color w:val="000000" w:themeColor="text1"/>
        </w:rPr>
        <w:t>aposentadorias</w:t>
      </w:r>
      <w:r w:rsidRPr="00741A93">
        <w:rPr>
          <w:rFonts w:ascii="Century Gothic" w:hAnsi="Century Gothic" w:cs="Arial"/>
          <w:i/>
          <w:color w:val="000000" w:themeColor="text1"/>
        </w:rPr>
        <w:t xml:space="preserve"> e pensões, ultrapassar o prazo de cinco anos, sob pena de ofensa ao princípio da confiança – face subjetiva do princípio da segurança jurídica – sendo que, nesses casos, </w:t>
      </w:r>
      <w:r w:rsidRPr="00741A93">
        <w:rPr>
          <w:rFonts w:ascii="Century Gothic" w:hAnsi="Century Gothic" w:cs="Arial"/>
          <w:b/>
          <w:i/>
          <w:color w:val="000000" w:themeColor="text1"/>
          <w:u w:val="single"/>
        </w:rPr>
        <w:t>o dies a quo será a chegada ao TCU do processo administrativo de </w:t>
      </w:r>
      <w:r w:rsidRPr="00741A93">
        <w:rPr>
          <w:rFonts w:ascii="Century Gothic" w:hAnsi="Century Gothic" w:cs="Arial"/>
          <w:b/>
          <w:bCs/>
          <w:i/>
          <w:color w:val="000000" w:themeColor="text1"/>
          <w:u w:val="single"/>
        </w:rPr>
        <w:t>aposentadoria</w:t>
      </w:r>
      <w:r w:rsidRPr="00741A93">
        <w:rPr>
          <w:rFonts w:ascii="Century Gothic" w:hAnsi="Century Gothic" w:cs="Arial"/>
          <w:b/>
          <w:i/>
          <w:color w:val="000000" w:themeColor="text1"/>
          <w:u w:val="single"/>
        </w:rPr>
        <w:t> ou pensão encaminhado pelo órgão de origem para julgamento da legalidade do </w:t>
      </w:r>
      <w:r w:rsidRPr="00741A93">
        <w:rPr>
          <w:rFonts w:ascii="Century Gothic" w:hAnsi="Century Gothic" w:cs="Arial"/>
          <w:b/>
          <w:bCs/>
          <w:i/>
          <w:color w:val="000000" w:themeColor="text1"/>
          <w:u w:val="single"/>
        </w:rPr>
        <w:t>ato</w:t>
      </w:r>
      <w:r w:rsidRPr="00741A93">
        <w:rPr>
          <w:rFonts w:ascii="Century Gothic" w:hAnsi="Century Gothic" w:cs="Arial"/>
          <w:b/>
          <w:i/>
          <w:color w:val="000000" w:themeColor="text1"/>
          <w:u w:val="single"/>
        </w:rPr>
        <w:t> </w:t>
      </w:r>
      <w:r w:rsidRPr="00741A93">
        <w:rPr>
          <w:rFonts w:ascii="Century Gothic" w:hAnsi="Century Gothic" w:cs="Arial"/>
          <w:b/>
          <w:bCs/>
          <w:i/>
          <w:color w:val="000000" w:themeColor="text1"/>
          <w:u w:val="single"/>
        </w:rPr>
        <w:t>concessivo</w:t>
      </w:r>
      <w:r w:rsidRPr="00741A93">
        <w:rPr>
          <w:rFonts w:ascii="Century Gothic" w:hAnsi="Century Gothic" w:cs="Arial"/>
          <w:b/>
          <w:i/>
          <w:color w:val="000000" w:themeColor="text1"/>
          <w:u w:val="single"/>
        </w:rPr>
        <w:t> de </w:t>
      </w:r>
      <w:r w:rsidRPr="00741A93">
        <w:rPr>
          <w:rFonts w:ascii="Century Gothic" w:hAnsi="Century Gothic" w:cs="Arial"/>
          <w:b/>
          <w:bCs/>
          <w:i/>
          <w:color w:val="000000" w:themeColor="text1"/>
          <w:u w:val="single"/>
        </w:rPr>
        <w:t>aposentadoria</w:t>
      </w:r>
      <w:r w:rsidRPr="00741A93">
        <w:rPr>
          <w:rFonts w:ascii="Century Gothic" w:hAnsi="Century Gothic" w:cs="Arial"/>
          <w:b/>
          <w:i/>
          <w:color w:val="000000" w:themeColor="text1"/>
          <w:u w:val="single"/>
        </w:rPr>
        <w:t>, pensão ou reforma e posterior registro pela Corte de Contas</w:t>
      </w:r>
      <w:r w:rsidRPr="00741A93">
        <w:rPr>
          <w:rFonts w:ascii="Century Gothic" w:hAnsi="Century Gothic" w:cs="Arial"/>
          <w:i/>
          <w:color w:val="000000" w:themeColor="text1"/>
        </w:rPr>
        <w:t xml:space="preserve">. Em tal sentido o citado </w:t>
      </w:r>
      <w:proofErr w:type="spellStart"/>
      <w:r w:rsidRPr="00741A93">
        <w:rPr>
          <w:rFonts w:ascii="Century Gothic" w:hAnsi="Century Gothic" w:cs="Arial"/>
          <w:i/>
          <w:color w:val="000000" w:themeColor="text1"/>
        </w:rPr>
        <w:t>leading</w:t>
      </w:r>
      <w:proofErr w:type="spellEnd"/>
      <w:r w:rsidRPr="00741A93">
        <w:rPr>
          <w:rFonts w:ascii="Century Gothic" w:hAnsi="Century Gothic" w:cs="Arial"/>
          <w:i/>
          <w:color w:val="000000" w:themeColor="text1"/>
        </w:rPr>
        <w:t xml:space="preserve"> case do STF (Pleno, MS n. 24.781/DF, Pleno, rel. p/ acórdão Ministro Gilmar Mendes, </w:t>
      </w:r>
      <w:proofErr w:type="spellStart"/>
      <w:proofErr w:type="gramStart"/>
      <w:r w:rsidRPr="00741A93">
        <w:rPr>
          <w:rFonts w:ascii="Century Gothic" w:hAnsi="Century Gothic" w:cs="Arial"/>
          <w:i/>
          <w:color w:val="000000" w:themeColor="text1"/>
        </w:rPr>
        <w:t>DJe</w:t>
      </w:r>
      <w:proofErr w:type="spellEnd"/>
      <w:proofErr w:type="gramEnd"/>
      <w:r w:rsidRPr="00741A93">
        <w:rPr>
          <w:rFonts w:ascii="Century Gothic" w:hAnsi="Century Gothic" w:cs="Arial"/>
          <w:i/>
          <w:color w:val="000000" w:themeColor="text1"/>
        </w:rPr>
        <w:t xml:space="preserve"> 09.06.2011) e a Súmula Vinculante n. 03 (Nos processos perante o Tribunal de Contas da União asseguram-se o contraditório e a ampla defesa quando da decisão puder resultar </w:t>
      </w:r>
      <w:r w:rsidRPr="00741A93">
        <w:rPr>
          <w:rFonts w:ascii="Century Gothic" w:hAnsi="Century Gothic" w:cs="Arial"/>
          <w:b/>
          <w:bCs/>
          <w:i/>
          <w:color w:val="000000" w:themeColor="text1"/>
        </w:rPr>
        <w:t>anulação</w:t>
      </w:r>
      <w:r w:rsidRPr="00741A93">
        <w:rPr>
          <w:rFonts w:ascii="Century Gothic" w:hAnsi="Century Gothic" w:cs="Arial"/>
          <w:i/>
          <w:color w:val="000000" w:themeColor="text1"/>
        </w:rPr>
        <w:t> ou revogação de </w:t>
      </w:r>
      <w:r w:rsidRPr="00741A93">
        <w:rPr>
          <w:rFonts w:ascii="Century Gothic" w:hAnsi="Century Gothic" w:cs="Arial"/>
          <w:b/>
          <w:bCs/>
          <w:i/>
          <w:color w:val="000000" w:themeColor="text1"/>
        </w:rPr>
        <w:t>ato</w:t>
      </w:r>
      <w:r w:rsidRPr="00741A93">
        <w:rPr>
          <w:rFonts w:ascii="Century Gothic" w:hAnsi="Century Gothic" w:cs="Arial"/>
          <w:i/>
          <w:color w:val="000000" w:themeColor="text1"/>
        </w:rPr>
        <w:t> administrativo que beneficie o interessado, excetuada a apreciação da legalidade do </w:t>
      </w:r>
      <w:r w:rsidRPr="00741A93">
        <w:rPr>
          <w:rFonts w:ascii="Century Gothic" w:hAnsi="Century Gothic" w:cs="Arial"/>
          <w:b/>
          <w:bCs/>
          <w:i/>
          <w:color w:val="000000" w:themeColor="text1"/>
        </w:rPr>
        <w:t>ato</w:t>
      </w:r>
      <w:r w:rsidRPr="00741A93">
        <w:rPr>
          <w:rFonts w:ascii="Century Gothic" w:hAnsi="Century Gothic" w:cs="Arial"/>
          <w:i/>
          <w:color w:val="000000" w:themeColor="text1"/>
        </w:rPr>
        <w:t> de concessão inicial de </w:t>
      </w:r>
      <w:r w:rsidRPr="00741A93">
        <w:rPr>
          <w:rFonts w:ascii="Century Gothic" w:hAnsi="Century Gothic" w:cs="Arial"/>
          <w:b/>
          <w:bCs/>
          <w:i/>
          <w:color w:val="000000" w:themeColor="text1"/>
        </w:rPr>
        <w:t>aposentadoria</w:t>
      </w:r>
      <w:r w:rsidRPr="00741A93">
        <w:rPr>
          <w:rFonts w:ascii="Century Gothic" w:hAnsi="Century Gothic" w:cs="Arial"/>
          <w:i/>
          <w:color w:val="000000" w:themeColor="text1"/>
        </w:rPr>
        <w:t xml:space="preserve">, reforma e pensão). 6. O art. 7º da EC n. </w:t>
      </w:r>
      <w:proofErr w:type="gramStart"/>
      <w:r w:rsidRPr="00741A93">
        <w:rPr>
          <w:rFonts w:ascii="Century Gothic" w:hAnsi="Century Gothic" w:cs="Arial"/>
          <w:i/>
          <w:color w:val="000000" w:themeColor="text1"/>
        </w:rPr>
        <w:t>41 ,</w:t>
      </w:r>
      <w:proofErr w:type="gramEnd"/>
      <w:r w:rsidRPr="00741A93">
        <w:rPr>
          <w:rFonts w:ascii="Century Gothic" w:hAnsi="Century Gothic" w:cs="Arial"/>
          <w:i/>
          <w:color w:val="000000" w:themeColor="text1"/>
        </w:rPr>
        <w:t xml:space="preserve"> de 19.12.2003, garante a paridade às </w:t>
      </w:r>
      <w:r w:rsidRPr="00741A93">
        <w:rPr>
          <w:rFonts w:ascii="Century Gothic" w:hAnsi="Century Gothic" w:cs="Arial"/>
          <w:b/>
          <w:bCs/>
          <w:i/>
          <w:color w:val="000000" w:themeColor="text1"/>
        </w:rPr>
        <w:t>aposentadorias</w:t>
      </w:r>
      <w:r w:rsidRPr="00741A93">
        <w:rPr>
          <w:rFonts w:ascii="Century Gothic" w:hAnsi="Century Gothic" w:cs="Arial"/>
          <w:i/>
          <w:color w:val="000000" w:themeColor="text1"/>
        </w:rPr>
        <w:t xml:space="preserve"> e pensões </w:t>
      </w:r>
      <w:r w:rsidRPr="00741A93">
        <w:rPr>
          <w:rFonts w:ascii="Century Gothic" w:hAnsi="Century Gothic" w:cs="Arial"/>
          <w:i/>
          <w:color w:val="000000" w:themeColor="text1"/>
        </w:rPr>
        <w:lastRenderedPageBreak/>
        <w:t xml:space="preserve">vigentes na data da publicação da emenda (31.12.2003). A MP n. 167, de 19.2.2004, posteriormente convertida na Lei nº </w:t>
      </w:r>
      <w:proofErr w:type="gramStart"/>
      <w:r w:rsidRPr="00741A93">
        <w:rPr>
          <w:rFonts w:ascii="Century Gothic" w:hAnsi="Century Gothic" w:cs="Arial"/>
          <w:i/>
          <w:color w:val="000000" w:themeColor="text1"/>
        </w:rPr>
        <w:t>10.887 ,</w:t>
      </w:r>
      <w:proofErr w:type="gramEnd"/>
      <w:r w:rsidRPr="00741A93">
        <w:rPr>
          <w:rFonts w:ascii="Century Gothic" w:hAnsi="Century Gothic" w:cs="Arial"/>
          <w:i/>
          <w:color w:val="000000" w:themeColor="text1"/>
        </w:rPr>
        <w:t xml:space="preserve"> de 18.06.2004, regulamentou...</w:t>
      </w:r>
    </w:p>
    <w:p w:rsidR="00874DB0" w:rsidRPr="00741A93" w:rsidRDefault="00874DB0" w:rsidP="00267AB2">
      <w:pPr>
        <w:spacing w:line="360" w:lineRule="auto"/>
        <w:ind w:right="-568"/>
        <w:jc w:val="both"/>
        <w:rPr>
          <w:rFonts w:ascii="Century Gothic" w:hAnsi="Century Gothic" w:cs="Arial"/>
          <w:color w:val="000000" w:themeColor="text1"/>
          <w:sz w:val="24"/>
          <w:szCs w:val="24"/>
        </w:rPr>
      </w:pPr>
    </w:p>
    <w:p w:rsidR="004937AB" w:rsidRPr="00741A93" w:rsidRDefault="004937AB" w:rsidP="00267AB2">
      <w:pPr>
        <w:spacing w:line="360" w:lineRule="auto"/>
        <w:ind w:right="-568"/>
        <w:jc w:val="both"/>
        <w:rPr>
          <w:rFonts w:ascii="Century Gothic" w:hAnsi="Century Gothic" w:cs="Arial"/>
          <w:color w:val="000000" w:themeColor="text1"/>
          <w:sz w:val="24"/>
          <w:szCs w:val="24"/>
        </w:rPr>
      </w:pPr>
      <w:r w:rsidRPr="00741A93">
        <w:rPr>
          <w:rFonts w:ascii="Century Gothic" w:hAnsi="Century Gothic" w:cs="Arial"/>
          <w:color w:val="000000" w:themeColor="text1"/>
          <w:sz w:val="24"/>
          <w:szCs w:val="24"/>
        </w:rPr>
        <w:t xml:space="preserve">Contudo, preferimos adotar o entendimento </w:t>
      </w:r>
      <w:r w:rsidR="00F66BBE" w:rsidRPr="00741A93">
        <w:rPr>
          <w:rFonts w:ascii="Century Gothic" w:hAnsi="Century Gothic" w:cs="Arial"/>
          <w:color w:val="000000" w:themeColor="text1"/>
          <w:sz w:val="24"/>
          <w:szCs w:val="24"/>
        </w:rPr>
        <w:t xml:space="preserve">do </w:t>
      </w:r>
      <w:r w:rsidRPr="00741A93">
        <w:rPr>
          <w:rFonts w:ascii="Century Gothic" w:hAnsi="Century Gothic" w:cs="Arial"/>
          <w:color w:val="000000" w:themeColor="text1"/>
          <w:sz w:val="24"/>
          <w:szCs w:val="24"/>
        </w:rPr>
        <w:t xml:space="preserve">colendo STJ no </w:t>
      </w:r>
      <w:proofErr w:type="spellStart"/>
      <w:proofErr w:type="gramStart"/>
      <w:r w:rsidRPr="00741A93">
        <w:rPr>
          <w:rFonts w:ascii="Century Gothic" w:hAnsi="Century Gothic" w:cs="Arial"/>
          <w:color w:val="000000" w:themeColor="text1"/>
          <w:sz w:val="24"/>
          <w:szCs w:val="24"/>
        </w:rPr>
        <w:t>AgInt</w:t>
      </w:r>
      <w:proofErr w:type="spellEnd"/>
      <w:proofErr w:type="gramEnd"/>
      <w:r w:rsidRPr="00741A93">
        <w:rPr>
          <w:rFonts w:ascii="Century Gothic" w:hAnsi="Century Gothic" w:cs="Arial"/>
          <w:color w:val="000000" w:themeColor="text1"/>
          <w:sz w:val="24"/>
          <w:szCs w:val="24"/>
        </w:rPr>
        <w:t xml:space="preserve"> nos </w:t>
      </w:r>
      <w:proofErr w:type="spellStart"/>
      <w:r w:rsidRPr="00741A93">
        <w:rPr>
          <w:rFonts w:ascii="Century Gothic" w:hAnsi="Century Gothic" w:cs="Arial"/>
          <w:color w:val="000000" w:themeColor="text1"/>
          <w:sz w:val="24"/>
          <w:szCs w:val="24"/>
        </w:rPr>
        <w:t>EDcl</w:t>
      </w:r>
      <w:proofErr w:type="spellEnd"/>
      <w:r w:rsidRPr="00741A93">
        <w:rPr>
          <w:rFonts w:ascii="Century Gothic" w:hAnsi="Century Gothic" w:cs="Arial"/>
          <w:color w:val="000000" w:themeColor="text1"/>
          <w:sz w:val="24"/>
          <w:szCs w:val="24"/>
        </w:rPr>
        <w:t xml:space="preserve"> no </w:t>
      </w:r>
      <w:proofErr w:type="spellStart"/>
      <w:r w:rsidRPr="00741A93">
        <w:rPr>
          <w:rFonts w:ascii="Century Gothic" w:hAnsi="Century Gothic" w:cs="Arial"/>
          <w:color w:val="000000" w:themeColor="text1"/>
          <w:sz w:val="24"/>
          <w:szCs w:val="24"/>
        </w:rPr>
        <w:t>REsp</w:t>
      </w:r>
      <w:proofErr w:type="spellEnd"/>
      <w:r w:rsidRPr="00741A93">
        <w:rPr>
          <w:rFonts w:ascii="Century Gothic" w:hAnsi="Century Gothic" w:cs="Arial"/>
          <w:color w:val="000000" w:themeColor="text1"/>
          <w:sz w:val="24"/>
          <w:szCs w:val="24"/>
        </w:rPr>
        <w:t xml:space="preserve">: 1625581 MG 2016/0238685-0, Relator: Ministro MAURO CAMPBELL MARQUES, Data de Julgamento: 02/05/2017, T2 - SEGUNDA TURMA, Data de Publicação: </w:t>
      </w:r>
      <w:proofErr w:type="spellStart"/>
      <w:r w:rsidRPr="00741A93">
        <w:rPr>
          <w:rFonts w:ascii="Century Gothic" w:hAnsi="Century Gothic" w:cs="Arial"/>
          <w:color w:val="000000" w:themeColor="text1"/>
          <w:sz w:val="24"/>
          <w:szCs w:val="24"/>
        </w:rPr>
        <w:t>DJe</w:t>
      </w:r>
      <w:proofErr w:type="spellEnd"/>
      <w:r w:rsidRPr="00741A93">
        <w:rPr>
          <w:rFonts w:ascii="Century Gothic" w:hAnsi="Century Gothic" w:cs="Arial"/>
          <w:color w:val="000000" w:themeColor="text1"/>
          <w:sz w:val="24"/>
          <w:szCs w:val="24"/>
        </w:rPr>
        <w:t xml:space="preserve"> 05/05/2017, no sentido de que:</w:t>
      </w:r>
    </w:p>
    <w:p w:rsidR="004937AB" w:rsidRPr="00741A93" w:rsidRDefault="004937AB" w:rsidP="00060EA0">
      <w:pPr>
        <w:spacing w:line="360" w:lineRule="auto"/>
        <w:ind w:left="1416" w:right="-568"/>
        <w:jc w:val="both"/>
        <w:rPr>
          <w:rFonts w:ascii="Century Gothic" w:hAnsi="Century Gothic" w:cs="Arial"/>
          <w:i/>
          <w:color w:val="000000" w:themeColor="text1"/>
          <w:sz w:val="24"/>
          <w:szCs w:val="24"/>
        </w:rPr>
      </w:pPr>
      <w:r w:rsidRPr="00741A93">
        <w:rPr>
          <w:rFonts w:ascii="Century Gothic" w:hAnsi="Century Gothic" w:cs="Arial"/>
          <w:i/>
          <w:color w:val="000000" w:themeColor="text1"/>
          <w:sz w:val="24"/>
          <w:szCs w:val="24"/>
        </w:rPr>
        <w:t xml:space="preserve">PROCESSUAL CIVIL. AGRAVO INTERNO NOS EMBARGOS DE DECLARAÇÃO NO RECURSO ESPECIAL. ENUNCIADO ADMINISTRATIVO N. 03/STJ. SERVIDOR PÚBLICO FEDERAL. REVISÃO DE ATO DE APOSENTADORIA PELA ADMINISTRAÇÃO. DECADÊNCIA. INOCORRÊNCIA. ATO COMPLEXO. ERRO DE PREMISSA FÁTICA. INOCORRÊNCIA. DECISUM AGRAVADO LASTREADO NO CONJUNTO FÁTICO DELINEADO PELO ACÓRDÃO RECORRIDO. AGRAVO INTERNO NÃO PROVIDO. 1. In </w:t>
      </w:r>
      <w:proofErr w:type="spellStart"/>
      <w:r w:rsidRPr="00741A93">
        <w:rPr>
          <w:rFonts w:ascii="Century Gothic" w:hAnsi="Century Gothic" w:cs="Arial"/>
          <w:i/>
          <w:color w:val="000000" w:themeColor="text1"/>
          <w:sz w:val="24"/>
          <w:szCs w:val="24"/>
        </w:rPr>
        <w:t>casu</w:t>
      </w:r>
      <w:proofErr w:type="spellEnd"/>
      <w:r w:rsidRPr="00741A93">
        <w:rPr>
          <w:rFonts w:ascii="Century Gothic" w:hAnsi="Century Gothic" w:cs="Arial"/>
          <w:i/>
          <w:color w:val="000000" w:themeColor="text1"/>
          <w:sz w:val="24"/>
          <w:szCs w:val="24"/>
        </w:rPr>
        <w:t xml:space="preserve">, consoante se observa às 241/242-e, a Corte de origem apreciou e decidiu a controvérsia, como revisão de ato de aposentadoria, sendo que, ao assentar que "entre a data da aposentadoria do Impetrante (15/05/1991) até a revisão do ato que lhe concedeu a aposentação (06/10/2010), já havia decorrido mais de cinco anos da vigência do art. 54 da Lei n. 9.784/99, devendo ser reconhecida a decadência da Administração em rever o referido ato, posto que consolidado pelo decurso do tempo" (fl. 242-e), </w:t>
      </w:r>
      <w:r w:rsidRPr="00741A93">
        <w:rPr>
          <w:rFonts w:ascii="Century Gothic" w:hAnsi="Century Gothic" w:cs="Arial"/>
          <w:b/>
          <w:i/>
          <w:color w:val="000000" w:themeColor="text1"/>
          <w:sz w:val="24"/>
          <w:szCs w:val="24"/>
          <w:u w:val="single"/>
        </w:rPr>
        <w:t xml:space="preserve">destoou do entendimento firmado no âmbito deste </w:t>
      </w:r>
      <w:proofErr w:type="spellStart"/>
      <w:proofErr w:type="gramStart"/>
      <w:r w:rsidRPr="00741A93">
        <w:rPr>
          <w:rFonts w:ascii="Century Gothic" w:hAnsi="Century Gothic" w:cs="Arial"/>
          <w:b/>
          <w:i/>
          <w:color w:val="000000" w:themeColor="text1"/>
          <w:sz w:val="24"/>
          <w:szCs w:val="24"/>
          <w:u w:val="single"/>
        </w:rPr>
        <w:t>e.</w:t>
      </w:r>
      <w:proofErr w:type="gramEnd"/>
      <w:r w:rsidRPr="00741A93">
        <w:rPr>
          <w:rFonts w:ascii="Century Gothic" w:hAnsi="Century Gothic" w:cs="Arial"/>
          <w:b/>
          <w:i/>
          <w:color w:val="000000" w:themeColor="text1"/>
          <w:sz w:val="24"/>
          <w:szCs w:val="24"/>
          <w:u w:val="single"/>
        </w:rPr>
        <w:t>STJ</w:t>
      </w:r>
      <w:proofErr w:type="spellEnd"/>
      <w:r w:rsidRPr="00741A93">
        <w:rPr>
          <w:rFonts w:ascii="Century Gothic" w:hAnsi="Century Gothic" w:cs="Arial"/>
          <w:b/>
          <w:i/>
          <w:color w:val="000000" w:themeColor="text1"/>
          <w:sz w:val="24"/>
          <w:szCs w:val="24"/>
          <w:u w:val="single"/>
        </w:rPr>
        <w:t>, segundo o qual "o prazo decadencial para a Administração rever o ato de aposentadoria somente tem início com a manifestação do Tribunal de Contas, visto que o referido ato administrativo é complexo, exigindo-se a manifestação de vontade de órgãos distintos para se aperfeiçoar</w:t>
      </w:r>
      <w:r w:rsidRPr="00741A93">
        <w:rPr>
          <w:rFonts w:ascii="Century Gothic" w:hAnsi="Century Gothic" w:cs="Arial"/>
          <w:i/>
          <w:color w:val="000000" w:themeColor="text1"/>
          <w:sz w:val="24"/>
          <w:szCs w:val="24"/>
        </w:rPr>
        <w:t>" (</w:t>
      </w:r>
      <w:proofErr w:type="spellStart"/>
      <w:r w:rsidRPr="00741A93">
        <w:rPr>
          <w:rFonts w:ascii="Century Gothic" w:hAnsi="Century Gothic" w:cs="Arial"/>
          <w:i/>
          <w:color w:val="000000" w:themeColor="text1"/>
          <w:sz w:val="24"/>
          <w:szCs w:val="24"/>
        </w:rPr>
        <w:t>AgRg</w:t>
      </w:r>
      <w:proofErr w:type="spellEnd"/>
      <w:r w:rsidRPr="00741A93">
        <w:rPr>
          <w:rFonts w:ascii="Century Gothic" w:hAnsi="Century Gothic" w:cs="Arial"/>
          <w:i/>
          <w:color w:val="000000" w:themeColor="text1"/>
          <w:sz w:val="24"/>
          <w:szCs w:val="24"/>
        </w:rPr>
        <w:t xml:space="preserve"> no </w:t>
      </w:r>
      <w:proofErr w:type="spellStart"/>
      <w:r w:rsidRPr="00741A93">
        <w:rPr>
          <w:rFonts w:ascii="Century Gothic" w:hAnsi="Century Gothic" w:cs="Arial"/>
          <w:i/>
          <w:color w:val="000000" w:themeColor="text1"/>
          <w:sz w:val="24"/>
          <w:szCs w:val="24"/>
        </w:rPr>
        <w:t>REsp</w:t>
      </w:r>
      <w:proofErr w:type="spellEnd"/>
      <w:r w:rsidRPr="00741A93">
        <w:rPr>
          <w:rFonts w:ascii="Century Gothic" w:hAnsi="Century Gothic" w:cs="Arial"/>
          <w:i/>
          <w:color w:val="000000" w:themeColor="text1"/>
          <w:sz w:val="24"/>
          <w:szCs w:val="24"/>
        </w:rPr>
        <w:t xml:space="preserve"> 1156959/PR, Rel. Ministro REYNALDO </w:t>
      </w:r>
      <w:r w:rsidRPr="00741A93">
        <w:rPr>
          <w:rFonts w:ascii="Century Gothic" w:hAnsi="Century Gothic" w:cs="Arial"/>
          <w:i/>
          <w:color w:val="000000" w:themeColor="text1"/>
          <w:sz w:val="24"/>
          <w:szCs w:val="24"/>
        </w:rPr>
        <w:lastRenderedPageBreak/>
        <w:t xml:space="preserve">SOARES DA FONSECA, QUINTA TURMA, julgado em 10/12/2015, </w:t>
      </w:r>
      <w:proofErr w:type="spellStart"/>
      <w:r w:rsidRPr="00741A93">
        <w:rPr>
          <w:rFonts w:ascii="Century Gothic" w:hAnsi="Century Gothic" w:cs="Arial"/>
          <w:i/>
          <w:color w:val="000000" w:themeColor="text1"/>
          <w:sz w:val="24"/>
          <w:szCs w:val="24"/>
        </w:rPr>
        <w:t>DJe</w:t>
      </w:r>
      <w:proofErr w:type="spellEnd"/>
      <w:r w:rsidRPr="00741A93">
        <w:rPr>
          <w:rFonts w:ascii="Century Gothic" w:hAnsi="Century Gothic" w:cs="Arial"/>
          <w:i/>
          <w:color w:val="000000" w:themeColor="text1"/>
          <w:sz w:val="24"/>
          <w:szCs w:val="24"/>
        </w:rPr>
        <w:t xml:space="preserve"> 16/12/2015). 2. In </w:t>
      </w:r>
      <w:proofErr w:type="spellStart"/>
      <w:r w:rsidRPr="00741A93">
        <w:rPr>
          <w:rFonts w:ascii="Century Gothic" w:hAnsi="Century Gothic" w:cs="Arial"/>
          <w:i/>
          <w:color w:val="000000" w:themeColor="text1"/>
          <w:sz w:val="24"/>
          <w:szCs w:val="24"/>
        </w:rPr>
        <w:t>casu</w:t>
      </w:r>
      <w:proofErr w:type="spellEnd"/>
      <w:r w:rsidRPr="00741A93">
        <w:rPr>
          <w:rFonts w:ascii="Century Gothic" w:hAnsi="Century Gothic" w:cs="Arial"/>
          <w:i/>
          <w:color w:val="000000" w:themeColor="text1"/>
          <w:sz w:val="24"/>
          <w:szCs w:val="24"/>
        </w:rPr>
        <w:t xml:space="preserve">, não há que se falar em erro de premissa fática, porquanto o decisum agravado encontra coerência no contexto no contexto fático e </w:t>
      </w:r>
      <w:proofErr w:type="gramStart"/>
      <w:r w:rsidRPr="00741A93">
        <w:rPr>
          <w:rFonts w:ascii="Century Gothic" w:hAnsi="Century Gothic" w:cs="Arial"/>
          <w:i/>
          <w:color w:val="000000" w:themeColor="text1"/>
          <w:sz w:val="24"/>
          <w:szCs w:val="24"/>
        </w:rPr>
        <w:t>fundamentação adotados pelo acórdão proferido na origem</w:t>
      </w:r>
      <w:proofErr w:type="gramEnd"/>
      <w:r w:rsidRPr="00741A93">
        <w:rPr>
          <w:rFonts w:ascii="Century Gothic" w:hAnsi="Century Gothic" w:cs="Arial"/>
          <w:i/>
          <w:color w:val="000000" w:themeColor="text1"/>
          <w:sz w:val="24"/>
          <w:szCs w:val="24"/>
        </w:rPr>
        <w:t>. 3. Agravo regimental não provido.</w:t>
      </w:r>
    </w:p>
    <w:p w:rsidR="00B114F5" w:rsidRPr="00741A93" w:rsidRDefault="00B114F5" w:rsidP="00267AB2">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No mesmo sentido:</w:t>
      </w:r>
    </w:p>
    <w:p w:rsidR="00B114F5" w:rsidRPr="00741A93" w:rsidRDefault="00B114F5" w:rsidP="00B114F5">
      <w:pPr>
        <w:ind w:left="1416"/>
        <w:jc w:val="both"/>
        <w:rPr>
          <w:rFonts w:ascii="Century Gothic" w:hAnsi="Century Gothic"/>
          <w:i/>
          <w:sz w:val="24"/>
          <w:szCs w:val="24"/>
        </w:rPr>
      </w:pPr>
      <w:r w:rsidRPr="00741A93">
        <w:rPr>
          <w:rFonts w:ascii="Century Gothic" w:hAnsi="Century Gothic"/>
          <w:i/>
          <w:sz w:val="24"/>
          <w:szCs w:val="24"/>
        </w:rPr>
        <w:t xml:space="preserve">“O Supremo Tribunal Federal pacificou entendimento de que, sendo </w:t>
      </w:r>
      <w:proofErr w:type="gramStart"/>
      <w:r w:rsidRPr="00741A93">
        <w:rPr>
          <w:rFonts w:ascii="Century Gothic" w:hAnsi="Century Gothic"/>
          <w:i/>
          <w:sz w:val="24"/>
          <w:szCs w:val="24"/>
        </w:rPr>
        <w:t>a aposentadoria ato complexo, que só se aperfeiçoa com o registro no Tribunal de Contas da União,</w:t>
      </w:r>
      <w:proofErr w:type="gramEnd"/>
      <w:r w:rsidRPr="00741A93">
        <w:rPr>
          <w:rFonts w:ascii="Century Gothic" w:hAnsi="Century Gothic"/>
          <w:i/>
          <w:sz w:val="24"/>
          <w:szCs w:val="24"/>
        </w:rPr>
        <w:t xml:space="preserve"> o prazo decadencial da Lei n. 9.784/99 tem início a partir de sua publicação. Aposentadoria do Impetrante não registrada: inocorrência da decadência administrativa. 4. A redução de proventos de aposentadoria, quando concedida em desacordo com a lei, não ofende o princípio da irredutibilidade de vencimentos. Precedentes. 5. Segurança denegada” (MS 25.552, de minha relatoria, Plenário, </w:t>
      </w:r>
      <w:proofErr w:type="spellStart"/>
      <w:r w:rsidRPr="00741A93">
        <w:rPr>
          <w:rFonts w:ascii="Century Gothic" w:hAnsi="Century Gothic"/>
          <w:i/>
          <w:sz w:val="24"/>
          <w:szCs w:val="24"/>
        </w:rPr>
        <w:t>DJe</w:t>
      </w:r>
      <w:proofErr w:type="spellEnd"/>
      <w:r w:rsidRPr="00741A93">
        <w:rPr>
          <w:rFonts w:ascii="Century Gothic" w:hAnsi="Century Gothic"/>
          <w:i/>
          <w:sz w:val="24"/>
          <w:szCs w:val="24"/>
        </w:rPr>
        <w:t xml:space="preserve"> 30.5.2008).</w:t>
      </w:r>
    </w:p>
    <w:p w:rsidR="004937AB" w:rsidRPr="00741A93" w:rsidRDefault="00B114F5" w:rsidP="00267AB2">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Esse entendimento </w:t>
      </w:r>
      <w:r w:rsidR="000E70AA" w:rsidRPr="00741A93">
        <w:rPr>
          <w:rFonts w:ascii="Century Gothic" w:hAnsi="Century Gothic" w:cs="Tahoma"/>
          <w:color w:val="000000" w:themeColor="text1"/>
          <w:spacing w:val="5"/>
        </w:rPr>
        <w:t>é aplicável também</w:t>
      </w:r>
      <w:r w:rsidRPr="00741A93">
        <w:rPr>
          <w:rFonts w:ascii="Century Gothic" w:hAnsi="Century Gothic" w:cs="Tahoma"/>
          <w:color w:val="000000" w:themeColor="text1"/>
          <w:spacing w:val="5"/>
        </w:rPr>
        <w:t xml:space="preserve"> à concessão de pensões por morte</w:t>
      </w:r>
      <w:r w:rsidR="004937AB" w:rsidRPr="00741A93">
        <w:rPr>
          <w:rFonts w:ascii="Century Gothic" w:hAnsi="Century Gothic" w:cs="Tahoma"/>
          <w:color w:val="000000" w:themeColor="text1"/>
          <w:spacing w:val="5"/>
        </w:rPr>
        <w:t>.</w:t>
      </w:r>
    </w:p>
    <w:p w:rsidR="000E70AA" w:rsidRPr="00741A93" w:rsidRDefault="00874DB0" w:rsidP="00267AB2">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Portanto, a</w:t>
      </w:r>
      <w:r w:rsidR="000E70AA" w:rsidRPr="00741A93">
        <w:rPr>
          <w:rFonts w:ascii="Century Gothic" w:hAnsi="Century Gothic" w:cs="Tahoma"/>
          <w:color w:val="000000" w:themeColor="text1"/>
          <w:spacing w:val="5"/>
        </w:rPr>
        <w:t xml:space="preserve">os pedidos de revisão de pensão por morte ou de aposentadoria por parte do próprio beneficiário, aplica-se o prazo prescricional de </w:t>
      </w:r>
      <w:proofErr w:type="gramStart"/>
      <w:r w:rsidR="000E70AA" w:rsidRPr="00741A93">
        <w:rPr>
          <w:rFonts w:ascii="Century Gothic" w:hAnsi="Century Gothic" w:cs="Tahoma"/>
          <w:color w:val="000000" w:themeColor="text1"/>
          <w:spacing w:val="5"/>
        </w:rPr>
        <w:t>5</w:t>
      </w:r>
      <w:proofErr w:type="gramEnd"/>
      <w:r w:rsidR="000E70AA" w:rsidRPr="00741A93">
        <w:rPr>
          <w:rFonts w:ascii="Century Gothic" w:hAnsi="Century Gothic" w:cs="Tahoma"/>
          <w:color w:val="000000" w:themeColor="text1"/>
          <w:spacing w:val="5"/>
        </w:rPr>
        <w:t xml:space="preserve"> (cinco) anos, a contar da sua homologação pelo Tribunal de Contas.</w:t>
      </w:r>
    </w:p>
    <w:p w:rsidR="000E70AA" w:rsidRPr="00741A93" w:rsidRDefault="000E70AA" w:rsidP="00267AB2">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t xml:space="preserve">No que tange a revisão </w:t>
      </w:r>
      <w:r w:rsidR="00741A93">
        <w:rPr>
          <w:rFonts w:ascii="Century Gothic" w:hAnsi="Century Gothic" w:cs="Tahoma"/>
          <w:color w:val="000000" w:themeColor="text1"/>
          <w:spacing w:val="5"/>
        </w:rPr>
        <w:t xml:space="preserve">ou cassação </w:t>
      </w:r>
      <w:r w:rsidR="00CD42BA" w:rsidRPr="00741A93">
        <w:rPr>
          <w:rFonts w:ascii="Century Gothic" w:hAnsi="Century Gothic" w:cs="Tahoma"/>
          <w:color w:val="000000" w:themeColor="text1"/>
          <w:spacing w:val="5"/>
        </w:rPr>
        <w:t xml:space="preserve">de benefícios previdenciários, por iniciativa da própria Administração Previdenciária, </w:t>
      </w:r>
      <w:r w:rsidR="00874DB0" w:rsidRPr="00741A93">
        <w:rPr>
          <w:rFonts w:ascii="Century Gothic" w:hAnsi="Century Gothic" w:cs="Tahoma"/>
          <w:color w:val="000000" w:themeColor="text1"/>
          <w:spacing w:val="5"/>
        </w:rPr>
        <w:t>caso</w:t>
      </w:r>
      <w:r w:rsidR="00741A93">
        <w:rPr>
          <w:rFonts w:ascii="Century Gothic" w:hAnsi="Century Gothic" w:cs="Tahoma"/>
          <w:color w:val="000000" w:themeColor="text1"/>
          <w:spacing w:val="5"/>
        </w:rPr>
        <w:t>s</w:t>
      </w:r>
      <w:r w:rsidR="00874DB0" w:rsidRPr="00741A93">
        <w:rPr>
          <w:rFonts w:ascii="Century Gothic" w:hAnsi="Century Gothic" w:cs="Tahoma"/>
          <w:color w:val="000000" w:themeColor="text1"/>
          <w:spacing w:val="5"/>
        </w:rPr>
        <w:t xml:space="preserve"> em que esta, imbuída </w:t>
      </w:r>
      <w:r w:rsidR="00741A93">
        <w:rPr>
          <w:rFonts w:ascii="Century Gothic" w:hAnsi="Century Gothic" w:cs="Tahoma"/>
          <w:color w:val="000000" w:themeColor="text1"/>
          <w:spacing w:val="5"/>
        </w:rPr>
        <w:t>n</w:t>
      </w:r>
      <w:r w:rsidR="00874DB0" w:rsidRPr="00741A93">
        <w:rPr>
          <w:rFonts w:ascii="Century Gothic" w:hAnsi="Century Gothic" w:cs="Tahoma"/>
          <w:color w:val="000000" w:themeColor="text1"/>
          <w:spacing w:val="5"/>
        </w:rPr>
        <w:t xml:space="preserve">o seu poder de autotutela (Sumula 473 do STF), decide rever o ato já praticado, </w:t>
      </w:r>
      <w:r w:rsidR="00CD42BA" w:rsidRPr="00741A93">
        <w:rPr>
          <w:rFonts w:ascii="Century Gothic" w:hAnsi="Century Gothic" w:cs="Tahoma"/>
          <w:color w:val="000000" w:themeColor="text1"/>
          <w:spacing w:val="5"/>
        </w:rPr>
        <w:t xml:space="preserve">aplica-se o prazo decadencial de 05 (cinco) anos, eis que trata de um direito </w:t>
      </w:r>
      <w:proofErr w:type="spellStart"/>
      <w:r w:rsidR="00CD42BA" w:rsidRPr="00741A93">
        <w:rPr>
          <w:rFonts w:ascii="Century Gothic" w:hAnsi="Century Gothic" w:cs="Tahoma"/>
          <w:color w:val="000000" w:themeColor="text1"/>
          <w:spacing w:val="5"/>
        </w:rPr>
        <w:t>potestativo</w:t>
      </w:r>
      <w:proofErr w:type="spellEnd"/>
      <w:r w:rsidR="00CD42BA" w:rsidRPr="00741A93">
        <w:rPr>
          <w:rFonts w:ascii="Century Gothic" w:hAnsi="Century Gothic" w:cs="Tahoma"/>
          <w:color w:val="000000" w:themeColor="text1"/>
          <w:spacing w:val="5"/>
        </w:rPr>
        <w:t>, cujo exercício depende unicamente do seu titular.</w:t>
      </w:r>
    </w:p>
    <w:p w:rsidR="00741A93" w:rsidRPr="00741A93" w:rsidRDefault="00741A93" w:rsidP="00267AB2">
      <w:pPr>
        <w:pStyle w:val="NormalWeb"/>
        <w:shd w:val="clear" w:color="auto" w:fill="FFFFFF"/>
        <w:spacing w:line="360" w:lineRule="auto"/>
        <w:jc w:val="both"/>
        <w:rPr>
          <w:rFonts w:ascii="Century Gothic" w:hAnsi="Century Gothic" w:cs="Tahoma"/>
          <w:color w:val="000000" w:themeColor="text1"/>
          <w:spacing w:val="5"/>
        </w:rPr>
      </w:pPr>
      <w:r w:rsidRPr="00741A93">
        <w:rPr>
          <w:rFonts w:ascii="Century Gothic" w:hAnsi="Century Gothic" w:cs="Tahoma"/>
          <w:color w:val="000000" w:themeColor="text1"/>
          <w:spacing w:val="5"/>
        </w:rPr>
        <w:lastRenderedPageBreak/>
        <w:t>Neste sentido, podemos citar a jurisprudência do egrégio Tribunal de Justiça de Minas Gerais:</w:t>
      </w:r>
    </w:p>
    <w:p w:rsidR="00741A93" w:rsidRPr="00741A93" w:rsidRDefault="00741A93" w:rsidP="00741A93">
      <w:pPr>
        <w:pStyle w:val="CitaoTJ"/>
        <w:rPr>
          <w:rFonts w:ascii="Century Gothic" w:hAnsi="Century Gothic"/>
          <w:sz w:val="24"/>
        </w:rPr>
      </w:pPr>
      <w:r w:rsidRPr="00741A93">
        <w:rPr>
          <w:rFonts w:ascii="Century Gothic" w:hAnsi="Century Gothic"/>
          <w:sz w:val="24"/>
        </w:rPr>
        <w:t xml:space="preserve">APELAÇÃO CÍVEL. ESTADO DE MINAS GERAIS. CANCELAMENTO DE PENSÃO POR MORTE. REVISÃO. SITUAÇÃO CONSOLIDADA HÁ MAIS DE 40 (QUARENTA) ANOS. DECADÊNCIA. SEGURANÇA JURÍDICA. BOA-FÉ OBJETIVA. PRECEDENTES. - A Administração pode rever os atos por ela praticados que estejam eivados de nulidade, no entanto, deve realizar essa alteração no prazo de cinco anos, contados da prática do ato, após o qual, decai desse direito. - O poder de autotutela deve ser compatibilizado com o princípio da segurança jurídica e da boa-fé objetiva, de modo a assegurar a estabilidade e a ordem das relações sociais. - Decorridos mais de cinco anos do ato que averbou, para fins de aposentadoria, o tempo de serviço prestado na iniciativa privada pelo servidor enquanto usufruía licença para tratar de interesses particulares, a situação jurídica ficou consolidada, descabendo sua revisão. - Inteligência do art. 65 da Lei Estadual 14.184/2002. - Sentença confirmada no reexame necessário. (Apelação Cível/Reexame Necessário 1.0024.13.252483-6/002, Rel. Des.(a) Heloisa </w:t>
      </w:r>
      <w:proofErr w:type="spellStart"/>
      <w:r w:rsidRPr="00741A93">
        <w:rPr>
          <w:rFonts w:ascii="Century Gothic" w:hAnsi="Century Gothic"/>
          <w:sz w:val="24"/>
        </w:rPr>
        <w:t>Combat</w:t>
      </w:r>
      <w:proofErr w:type="spellEnd"/>
      <w:r w:rsidRPr="00741A93">
        <w:rPr>
          <w:rFonts w:ascii="Century Gothic" w:hAnsi="Century Gothic"/>
          <w:sz w:val="24"/>
        </w:rPr>
        <w:t>, 4ª CÂMARA CÍVEL, julgamento em 09/10/2014, publicação da súmula em 16/10/2014).</w:t>
      </w:r>
    </w:p>
    <w:p w:rsidR="00741A93" w:rsidRPr="00741A93" w:rsidRDefault="00741A93" w:rsidP="00741A93">
      <w:pPr>
        <w:pStyle w:val="CitaoTJ"/>
        <w:rPr>
          <w:rFonts w:ascii="Century Gothic" w:hAnsi="Century Gothic"/>
          <w:sz w:val="24"/>
        </w:rPr>
      </w:pPr>
    </w:p>
    <w:p w:rsidR="00741A93" w:rsidRPr="00741A93" w:rsidRDefault="00741A93" w:rsidP="00741A93">
      <w:pPr>
        <w:pStyle w:val="CitaoTJ"/>
        <w:rPr>
          <w:rFonts w:ascii="Century Gothic" w:hAnsi="Century Gothic"/>
          <w:sz w:val="24"/>
        </w:rPr>
      </w:pPr>
      <w:r w:rsidRPr="00741A93">
        <w:rPr>
          <w:rFonts w:ascii="Century Gothic" w:hAnsi="Century Gothic"/>
          <w:sz w:val="24"/>
        </w:rPr>
        <w:t xml:space="preserve">ANULATÓRIA - PENSÃO POR MORTE CONCEDIDA A FILHA DE SEGURADO - VIGÊNCIA DA LEI Nº 1.195/54 - CASSAÇÃO DO BENEFÍCIO - DECURSO DO PRAZO DECADENCIAL - LEI FEDERAL Nº 9.784/99 E LEI ESTADUAL Nº 14.184/02. O administrador público tem o direito de rever seus próprios atos. Entretanto, se estes produziram efeitos concretos, a revisão fica limitada ao prazo decadencial de cinco anos, mormente quando não comprova eventual má-fé do administrado. (Apelação Cível / Reexame Necessário 1.0024.05.697501-4/002, Rel. </w:t>
      </w:r>
      <w:proofErr w:type="gramStart"/>
      <w:r w:rsidRPr="00741A93">
        <w:rPr>
          <w:rFonts w:ascii="Century Gothic" w:hAnsi="Century Gothic"/>
          <w:sz w:val="24"/>
        </w:rPr>
        <w:t>Des(</w:t>
      </w:r>
      <w:proofErr w:type="gramEnd"/>
      <w:r w:rsidRPr="00741A93">
        <w:rPr>
          <w:rFonts w:ascii="Century Gothic" w:hAnsi="Century Gothic"/>
          <w:sz w:val="24"/>
        </w:rPr>
        <w:t xml:space="preserve">a). </w:t>
      </w:r>
      <w:proofErr w:type="spellStart"/>
      <w:r w:rsidRPr="00741A93">
        <w:rPr>
          <w:rFonts w:ascii="Century Gothic" w:hAnsi="Century Gothic"/>
          <w:sz w:val="24"/>
        </w:rPr>
        <w:t>Audebert</w:t>
      </w:r>
      <w:proofErr w:type="spellEnd"/>
      <w:r w:rsidRPr="00741A93">
        <w:rPr>
          <w:rFonts w:ascii="Century Gothic" w:hAnsi="Century Gothic"/>
          <w:sz w:val="24"/>
        </w:rPr>
        <w:t xml:space="preserve"> </w:t>
      </w:r>
      <w:proofErr w:type="spellStart"/>
      <w:r w:rsidRPr="00741A93">
        <w:rPr>
          <w:rFonts w:ascii="Century Gothic" w:hAnsi="Century Gothic"/>
          <w:sz w:val="24"/>
        </w:rPr>
        <w:t>Delage</w:t>
      </w:r>
      <w:proofErr w:type="spellEnd"/>
      <w:r w:rsidRPr="00741A93">
        <w:rPr>
          <w:rFonts w:ascii="Century Gothic" w:hAnsi="Century Gothic"/>
          <w:sz w:val="24"/>
        </w:rPr>
        <w:t>, 4ª CÂMARA CÍVEL, julgamento em 03/05/2007, publicação da súmula em 10/05/2007).</w:t>
      </w:r>
    </w:p>
    <w:p w:rsidR="00741A93" w:rsidRPr="00741A93" w:rsidRDefault="00741A93" w:rsidP="00741A93">
      <w:pPr>
        <w:pStyle w:val="NormalTJ"/>
        <w:rPr>
          <w:rFonts w:ascii="Century Gothic" w:hAnsi="Century Gothic"/>
          <w:szCs w:val="24"/>
        </w:rPr>
      </w:pPr>
    </w:p>
    <w:p w:rsidR="00741A93" w:rsidRPr="00741A93" w:rsidRDefault="00741A93" w:rsidP="00741A93">
      <w:pPr>
        <w:pStyle w:val="NormalTJ"/>
        <w:ind w:firstLine="0"/>
        <w:rPr>
          <w:rFonts w:ascii="Century Gothic" w:hAnsi="Century Gothic"/>
          <w:szCs w:val="24"/>
        </w:rPr>
      </w:pPr>
      <w:r w:rsidRPr="00741A93">
        <w:rPr>
          <w:rFonts w:ascii="Century Gothic" w:hAnsi="Century Gothic"/>
          <w:szCs w:val="24"/>
        </w:rPr>
        <w:t xml:space="preserve">Como se observa, a decadência tem como termo </w:t>
      </w:r>
      <w:r w:rsidRPr="00741A93">
        <w:rPr>
          <w:rFonts w:ascii="Century Gothic" w:hAnsi="Century Gothic"/>
          <w:i/>
          <w:szCs w:val="24"/>
        </w:rPr>
        <w:t>a quo</w:t>
      </w:r>
      <w:r w:rsidRPr="00741A93">
        <w:rPr>
          <w:rFonts w:ascii="Century Gothic" w:hAnsi="Century Gothic"/>
          <w:szCs w:val="24"/>
        </w:rPr>
        <w:t xml:space="preserve"> a data em que foi praticado o ato ou o fato que daria ensejo a seu cancelamento </w:t>
      </w:r>
      <w:r w:rsidRPr="00741A93">
        <w:rPr>
          <w:rFonts w:ascii="Century Gothic" w:hAnsi="Century Gothic"/>
          <w:szCs w:val="24"/>
        </w:rPr>
        <w:lastRenderedPageBreak/>
        <w:t>e não o momento em que a Administração tomou conhecimento do vício.</w:t>
      </w:r>
    </w:p>
    <w:p w:rsidR="00741A93" w:rsidRDefault="00741A93" w:rsidP="000E70AA">
      <w:pPr>
        <w:spacing w:line="360" w:lineRule="auto"/>
        <w:jc w:val="both"/>
        <w:rPr>
          <w:rFonts w:ascii="Century Gothic" w:hAnsi="Century Gothic"/>
          <w:color w:val="000000" w:themeColor="text1"/>
          <w:sz w:val="24"/>
          <w:szCs w:val="24"/>
        </w:rPr>
      </w:pPr>
    </w:p>
    <w:p w:rsidR="00741A93" w:rsidRDefault="00741A93"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Diante de tudo que se expôs, podemos concluir que:</w:t>
      </w:r>
    </w:p>
    <w:p w:rsidR="00741A93" w:rsidRDefault="00741A93"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 xml:space="preserve">1 – </w:t>
      </w:r>
      <w:proofErr w:type="gramStart"/>
      <w:r>
        <w:rPr>
          <w:rFonts w:ascii="Century Gothic" w:hAnsi="Century Gothic"/>
          <w:color w:val="000000" w:themeColor="text1"/>
          <w:sz w:val="24"/>
          <w:szCs w:val="24"/>
        </w:rPr>
        <w:t>aplica-se</w:t>
      </w:r>
      <w:proofErr w:type="gramEnd"/>
      <w:r>
        <w:rPr>
          <w:rFonts w:ascii="Century Gothic" w:hAnsi="Century Gothic"/>
          <w:color w:val="000000" w:themeColor="text1"/>
          <w:sz w:val="24"/>
          <w:szCs w:val="24"/>
        </w:rPr>
        <w:t xml:space="preserve"> os institutos da prescrição e da decadência aos atos revisão de cassação de benefícios previdenciários;</w:t>
      </w:r>
    </w:p>
    <w:p w:rsidR="00741A93" w:rsidRDefault="00741A93"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2 – aos pedidos de revisão apresentados pelo beneficiário, aplica-se o prazo prescricional;</w:t>
      </w:r>
    </w:p>
    <w:p w:rsidR="00741A93" w:rsidRDefault="00741A93"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3 - à revisão ou cassação de benefícios previdenciários, por iniciativa da Administração Previdenciária, aplica-se o prazo decadencial;</w:t>
      </w:r>
    </w:p>
    <w:p w:rsidR="00741A93" w:rsidRDefault="00741A93"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4 – em ambos os casos, a contagem do prazo se dá da data da prática final do ato, que, nos casos de concessão de pensão por morte e aposentadoria, por ser um ato complexo, conclui-se com homologaç</w:t>
      </w:r>
      <w:r w:rsidR="006B1BAD">
        <w:rPr>
          <w:rFonts w:ascii="Century Gothic" w:hAnsi="Century Gothic"/>
          <w:color w:val="000000" w:themeColor="text1"/>
          <w:sz w:val="24"/>
          <w:szCs w:val="24"/>
        </w:rPr>
        <w:t>ão da Corte de Contas do Estado;</w:t>
      </w:r>
    </w:p>
    <w:p w:rsidR="006B1BAD" w:rsidRDefault="006B1BAD"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 xml:space="preserve">5 – aos benefícios concedidos por RPPS, aplica-se o prazo prescricional ou decadencial de </w:t>
      </w:r>
      <w:proofErr w:type="gramStart"/>
      <w:r>
        <w:rPr>
          <w:rFonts w:ascii="Century Gothic" w:hAnsi="Century Gothic"/>
          <w:color w:val="000000" w:themeColor="text1"/>
          <w:sz w:val="24"/>
          <w:szCs w:val="24"/>
        </w:rPr>
        <w:t>5</w:t>
      </w:r>
      <w:proofErr w:type="gramEnd"/>
      <w:r>
        <w:rPr>
          <w:rFonts w:ascii="Century Gothic" w:hAnsi="Century Gothic"/>
          <w:color w:val="000000" w:themeColor="text1"/>
          <w:sz w:val="24"/>
          <w:szCs w:val="24"/>
        </w:rPr>
        <w:t xml:space="preserve"> (cinco) anos e não prazo decenal previsto para o RGPS;</w:t>
      </w:r>
    </w:p>
    <w:p w:rsidR="006B1BAD" w:rsidRDefault="006B1BAD" w:rsidP="000E70AA">
      <w:pPr>
        <w:spacing w:line="360" w:lineRule="auto"/>
        <w:jc w:val="both"/>
        <w:rPr>
          <w:rFonts w:ascii="Century Gothic" w:hAnsi="Century Gothic"/>
          <w:color w:val="000000" w:themeColor="text1"/>
          <w:sz w:val="24"/>
          <w:szCs w:val="24"/>
        </w:rPr>
      </w:pPr>
      <w:r>
        <w:rPr>
          <w:rFonts w:ascii="Century Gothic" w:hAnsi="Century Gothic"/>
          <w:color w:val="000000" w:themeColor="text1"/>
          <w:sz w:val="24"/>
          <w:szCs w:val="24"/>
        </w:rPr>
        <w:t>6 – tanto para a prescrição do fundo de direito quanto para as prestações vencidas, aplica-se o prazo quinquenal.</w:t>
      </w:r>
    </w:p>
    <w:p w:rsidR="000E70AA" w:rsidRPr="00741A93" w:rsidRDefault="000E70AA" w:rsidP="000E70AA">
      <w:pPr>
        <w:spacing w:line="360" w:lineRule="auto"/>
        <w:jc w:val="both"/>
        <w:rPr>
          <w:rFonts w:ascii="Century Gothic" w:hAnsi="Century Gothic"/>
          <w:color w:val="000000" w:themeColor="text1"/>
          <w:sz w:val="24"/>
          <w:szCs w:val="24"/>
        </w:rPr>
      </w:pPr>
      <w:r w:rsidRPr="00741A93">
        <w:rPr>
          <w:rFonts w:ascii="Century Gothic" w:hAnsi="Century Gothic"/>
          <w:color w:val="000000" w:themeColor="text1"/>
          <w:sz w:val="24"/>
          <w:szCs w:val="24"/>
        </w:rPr>
        <w:t>Submeto à apreciação superior</w:t>
      </w:r>
      <w:r w:rsidR="006B1BAD">
        <w:rPr>
          <w:rFonts w:ascii="Century Gothic" w:hAnsi="Century Gothic"/>
          <w:color w:val="000000" w:themeColor="text1"/>
          <w:sz w:val="24"/>
          <w:szCs w:val="24"/>
        </w:rPr>
        <w:t>, para considerações</w:t>
      </w:r>
      <w:r w:rsidRPr="00741A93">
        <w:rPr>
          <w:rFonts w:ascii="Century Gothic" w:hAnsi="Century Gothic"/>
          <w:color w:val="000000" w:themeColor="text1"/>
          <w:sz w:val="24"/>
          <w:szCs w:val="24"/>
        </w:rPr>
        <w:t>.</w:t>
      </w:r>
    </w:p>
    <w:p w:rsidR="000E70AA" w:rsidRPr="00741A93" w:rsidRDefault="000E70AA" w:rsidP="000E70AA">
      <w:pPr>
        <w:spacing w:line="360" w:lineRule="auto"/>
        <w:jc w:val="both"/>
        <w:rPr>
          <w:rFonts w:ascii="Century Gothic" w:hAnsi="Century Gothic"/>
          <w:color w:val="000000" w:themeColor="text1"/>
          <w:sz w:val="24"/>
          <w:szCs w:val="24"/>
        </w:rPr>
      </w:pPr>
      <w:r w:rsidRPr="00741A93">
        <w:rPr>
          <w:rFonts w:ascii="Century Gothic" w:hAnsi="Century Gothic"/>
          <w:color w:val="000000" w:themeColor="text1"/>
          <w:sz w:val="24"/>
          <w:szCs w:val="24"/>
        </w:rPr>
        <w:t xml:space="preserve">Betim, </w:t>
      </w:r>
      <w:r w:rsidR="006B1BAD">
        <w:rPr>
          <w:rFonts w:ascii="Century Gothic" w:hAnsi="Century Gothic"/>
          <w:color w:val="000000" w:themeColor="text1"/>
          <w:sz w:val="24"/>
          <w:szCs w:val="24"/>
        </w:rPr>
        <w:t>21</w:t>
      </w:r>
      <w:r w:rsidRPr="00741A93">
        <w:rPr>
          <w:rFonts w:ascii="Century Gothic" w:hAnsi="Century Gothic"/>
          <w:color w:val="000000" w:themeColor="text1"/>
          <w:sz w:val="24"/>
          <w:szCs w:val="24"/>
        </w:rPr>
        <w:t xml:space="preserve"> de outubro de 2019.</w:t>
      </w:r>
    </w:p>
    <w:p w:rsidR="000E70AA" w:rsidRPr="00741A93" w:rsidRDefault="000E70AA" w:rsidP="000E70AA">
      <w:pPr>
        <w:spacing w:line="360" w:lineRule="auto"/>
        <w:jc w:val="both"/>
        <w:rPr>
          <w:rFonts w:ascii="Century Gothic" w:hAnsi="Century Gothic"/>
          <w:color w:val="000000" w:themeColor="text1"/>
          <w:sz w:val="24"/>
          <w:szCs w:val="24"/>
        </w:rPr>
      </w:pPr>
    </w:p>
    <w:p w:rsidR="000E70AA" w:rsidRPr="00741A93" w:rsidRDefault="000E70AA" w:rsidP="000E70AA">
      <w:pPr>
        <w:jc w:val="center"/>
        <w:rPr>
          <w:rFonts w:ascii="Century Gothic" w:hAnsi="Century Gothic"/>
          <w:b/>
          <w:color w:val="000000" w:themeColor="text1"/>
          <w:sz w:val="24"/>
          <w:szCs w:val="24"/>
        </w:rPr>
      </w:pPr>
      <w:r w:rsidRPr="00741A93">
        <w:rPr>
          <w:rFonts w:ascii="Century Gothic" w:hAnsi="Century Gothic"/>
          <w:b/>
          <w:color w:val="000000" w:themeColor="text1"/>
          <w:sz w:val="24"/>
          <w:szCs w:val="24"/>
        </w:rPr>
        <w:t>José Geraldo Fernandes Martins</w:t>
      </w:r>
    </w:p>
    <w:p w:rsidR="000E70AA" w:rsidRPr="00741A93" w:rsidRDefault="000E70AA" w:rsidP="000E70AA">
      <w:pPr>
        <w:jc w:val="center"/>
        <w:rPr>
          <w:rFonts w:ascii="Century Gothic" w:hAnsi="Century Gothic"/>
          <w:b/>
          <w:color w:val="000000" w:themeColor="text1"/>
          <w:sz w:val="24"/>
          <w:szCs w:val="24"/>
        </w:rPr>
      </w:pPr>
      <w:r w:rsidRPr="00741A93">
        <w:rPr>
          <w:rFonts w:ascii="Century Gothic" w:hAnsi="Century Gothic"/>
          <w:b/>
          <w:color w:val="000000" w:themeColor="text1"/>
          <w:sz w:val="24"/>
          <w:szCs w:val="24"/>
        </w:rPr>
        <w:t xml:space="preserve">Advogado Autárquico </w:t>
      </w:r>
    </w:p>
    <w:p w:rsidR="000E70AA" w:rsidRDefault="000E70AA" w:rsidP="000E70AA">
      <w:pPr>
        <w:jc w:val="center"/>
        <w:rPr>
          <w:rFonts w:ascii="Century Gothic" w:hAnsi="Century Gothic"/>
          <w:b/>
          <w:color w:val="000000" w:themeColor="text1"/>
          <w:sz w:val="24"/>
          <w:szCs w:val="24"/>
        </w:rPr>
      </w:pPr>
    </w:p>
    <w:p w:rsidR="006B1BAD" w:rsidRPr="00741A93" w:rsidRDefault="006B1BAD" w:rsidP="000E70AA">
      <w:pPr>
        <w:jc w:val="center"/>
        <w:rPr>
          <w:rFonts w:ascii="Century Gothic" w:hAnsi="Century Gothic"/>
          <w:b/>
          <w:color w:val="000000" w:themeColor="text1"/>
          <w:sz w:val="24"/>
          <w:szCs w:val="24"/>
        </w:rPr>
      </w:pPr>
    </w:p>
    <w:p w:rsidR="000E70AA" w:rsidRPr="00741A93" w:rsidRDefault="006B1BAD" w:rsidP="000E70AA">
      <w:pPr>
        <w:jc w:val="both"/>
        <w:rPr>
          <w:rFonts w:ascii="Century Gothic" w:hAnsi="Century Gothic"/>
          <w:sz w:val="24"/>
          <w:szCs w:val="24"/>
        </w:rPr>
      </w:pPr>
      <w:r>
        <w:rPr>
          <w:rFonts w:ascii="Century Gothic" w:hAnsi="Century Gothic"/>
          <w:sz w:val="24"/>
          <w:szCs w:val="24"/>
        </w:rPr>
        <w:lastRenderedPageBreak/>
        <w:t xml:space="preserve">Ciente e de acordo com </w:t>
      </w:r>
      <w:r w:rsidR="000E70AA" w:rsidRPr="00741A93">
        <w:rPr>
          <w:rFonts w:ascii="Century Gothic" w:hAnsi="Century Gothic"/>
          <w:sz w:val="24"/>
          <w:szCs w:val="24"/>
        </w:rPr>
        <w:t>a Nota Técnica nº 0</w:t>
      </w:r>
      <w:r>
        <w:rPr>
          <w:rFonts w:ascii="Century Gothic" w:hAnsi="Century Gothic"/>
          <w:sz w:val="24"/>
          <w:szCs w:val="24"/>
        </w:rPr>
        <w:t>2</w:t>
      </w:r>
      <w:r w:rsidR="000E70AA" w:rsidRPr="00741A93">
        <w:rPr>
          <w:rFonts w:ascii="Century Gothic" w:hAnsi="Century Gothic"/>
          <w:sz w:val="24"/>
          <w:szCs w:val="24"/>
        </w:rPr>
        <w:t xml:space="preserve">/2019. </w:t>
      </w:r>
    </w:p>
    <w:p w:rsidR="000E70AA" w:rsidRPr="00741A93" w:rsidRDefault="000E70AA" w:rsidP="000E70AA">
      <w:pPr>
        <w:rPr>
          <w:rFonts w:ascii="Century Gothic" w:hAnsi="Century Gothic"/>
          <w:sz w:val="24"/>
          <w:szCs w:val="24"/>
        </w:rPr>
      </w:pPr>
    </w:p>
    <w:p w:rsidR="000E70AA" w:rsidRPr="00741A93" w:rsidRDefault="000E70AA" w:rsidP="000E70AA">
      <w:pPr>
        <w:jc w:val="center"/>
        <w:rPr>
          <w:rFonts w:ascii="Century Gothic" w:hAnsi="Century Gothic"/>
          <w:b/>
          <w:color w:val="000000" w:themeColor="text1"/>
          <w:sz w:val="24"/>
          <w:szCs w:val="24"/>
        </w:rPr>
      </w:pPr>
      <w:r w:rsidRPr="00741A93">
        <w:rPr>
          <w:rFonts w:ascii="Century Gothic" w:hAnsi="Century Gothic"/>
          <w:b/>
          <w:color w:val="000000" w:themeColor="text1"/>
          <w:sz w:val="24"/>
          <w:szCs w:val="24"/>
        </w:rPr>
        <w:t>Rejane Souza Ribeiro</w:t>
      </w:r>
    </w:p>
    <w:p w:rsidR="000E70AA" w:rsidRPr="00741A93" w:rsidRDefault="000E70AA" w:rsidP="000E70AA">
      <w:pPr>
        <w:jc w:val="center"/>
        <w:rPr>
          <w:rFonts w:ascii="Century Gothic" w:hAnsi="Century Gothic"/>
          <w:b/>
          <w:color w:val="000000" w:themeColor="text1"/>
          <w:sz w:val="24"/>
          <w:szCs w:val="24"/>
        </w:rPr>
      </w:pPr>
      <w:r w:rsidRPr="00741A93">
        <w:rPr>
          <w:rFonts w:ascii="Century Gothic" w:hAnsi="Century Gothic"/>
          <w:b/>
          <w:color w:val="000000" w:themeColor="text1"/>
          <w:sz w:val="24"/>
          <w:szCs w:val="24"/>
        </w:rPr>
        <w:t>Assessora Jurídica</w:t>
      </w:r>
    </w:p>
    <w:p w:rsidR="000E70AA" w:rsidRPr="00741A93" w:rsidRDefault="000E70AA" w:rsidP="000E70AA">
      <w:pPr>
        <w:rPr>
          <w:rFonts w:ascii="Century Gothic" w:hAnsi="Century Gothic"/>
          <w:sz w:val="24"/>
          <w:szCs w:val="24"/>
        </w:rPr>
      </w:pPr>
    </w:p>
    <w:p w:rsidR="006B1BAD" w:rsidRDefault="006B1BAD" w:rsidP="006B1BAD">
      <w:pPr>
        <w:jc w:val="both"/>
        <w:rPr>
          <w:rFonts w:ascii="Century Gothic" w:hAnsi="Century Gothic"/>
          <w:sz w:val="24"/>
          <w:szCs w:val="24"/>
        </w:rPr>
      </w:pPr>
      <w:r w:rsidRPr="00741A93">
        <w:rPr>
          <w:rFonts w:ascii="Century Gothic" w:hAnsi="Century Gothic"/>
          <w:sz w:val="24"/>
          <w:szCs w:val="24"/>
        </w:rPr>
        <w:t xml:space="preserve">Aprovo a Nota Técnica </w:t>
      </w:r>
      <w:r>
        <w:rPr>
          <w:rFonts w:ascii="Century Gothic" w:hAnsi="Century Gothic"/>
          <w:sz w:val="24"/>
          <w:szCs w:val="24"/>
        </w:rPr>
        <w:t xml:space="preserve">Jurídica Previdenciária de </w:t>
      </w:r>
      <w:r w:rsidRPr="00741A93">
        <w:rPr>
          <w:rFonts w:ascii="Century Gothic" w:hAnsi="Century Gothic"/>
          <w:sz w:val="24"/>
          <w:szCs w:val="24"/>
        </w:rPr>
        <w:t>nº 0</w:t>
      </w:r>
      <w:r>
        <w:rPr>
          <w:rFonts w:ascii="Century Gothic" w:hAnsi="Century Gothic"/>
          <w:sz w:val="24"/>
          <w:szCs w:val="24"/>
        </w:rPr>
        <w:t>2</w:t>
      </w:r>
      <w:r w:rsidRPr="00741A93">
        <w:rPr>
          <w:rFonts w:ascii="Century Gothic" w:hAnsi="Century Gothic"/>
          <w:sz w:val="24"/>
          <w:szCs w:val="24"/>
        </w:rPr>
        <w:t>/2019, p</w:t>
      </w:r>
      <w:r>
        <w:rPr>
          <w:rFonts w:ascii="Century Gothic" w:hAnsi="Century Gothic"/>
          <w:sz w:val="24"/>
          <w:szCs w:val="24"/>
        </w:rPr>
        <w:t>elos</w:t>
      </w:r>
      <w:r w:rsidRPr="00741A93">
        <w:rPr>
          <w:rFonts w:ascii="Century Gothic" w:hAnsi="Century Gothic"/>
          <w:sz w:val="24"/>
          <w:szCs w:val="24"/>
        </w:rPr>
        <w:t xml:space="preserve"> seus próprios fundamentos. </w:t>
      </w:r>
    </w:p>
    <w:p w:rsidR="006B1BAD" w:rsidRPr="00741A93" w:rsidRDefault="006B1BAD" w:rsidP="006B1BAD">
      <w:pPr>
        <w:jc w:val="both"/>
        <w:rPr>
          <w:rFonts w:ascii="Century Gothic" w:hAnsi="Century Gothic"/>
          <w:sz w:val="24"/>
          <w:szCs w:val="24"/>
        </w:rPr>
      </w:pPr>
      <w:r>
        <w:rPr>
          <w:rFonts w:ascii="Century Gothic" w:hAnsi="Century Gothic"/>
          <w:sz w:val="24"/>
          <w:szCs w:val="24"/>
        </w:rPr>
        <w:t>Publique-se e aplique-se.</w:t>
      </w:r>
    </w:p>
    <w:p w:rsidR="00F57A32" w:rsidRDefault="00F57A32" w:rsidP="006B1BAD">
      <w:pPr>
        <w:pStyle w:val="NormalWeb"/>
        <w:shd w:val="clear" w:color="auto" w:fill="FFFFFF"/>
        <w:spacing w:line="360" w:lineRule="auto"/>
        <w:contextualSpacing/>
        <w:jc w:val="center"/>
        <w:rPr>
          <w:rFonts w:ascii="Century Gothic" w:hAnsi="Century Gothic" w:cs="Tahoma"/>
          <w:b/>
          <w:color w:val="000000" w:themeColor="text1"/>
          <w:spacing w:val="5"/>
        </w:rPr>
      </w:pPr>
    </w:p>
    <w:p w:rsidR="006B1BAD" w:rsidRDefault="006B1BAD" w:rsidP="006B1BAD">
      <w:pPr>
        <w:pStyle w:val="NormalWeb"/>
        <w:shd w:val="clear" w:color="auto" w:fill="FFFFFF"/>
        <w:spacing w:line="360" w:lineRule="auto"/>
        <w:contextualSpacing/>
        <w:jc w:val="center"/>
        <w:rPr>
          <w:rFonts w:ascii="Century Gothic" w:hAnsi="Century Gothic" w:cs="Tahoma"/>
          <w:b/>
          <w:color w:val="000000" w:themeColor="text1"/>
          <w:spacing w:val="5"/>
        </w:rPr>
      </w:pPr>
      <w:bookmarkStart w:id="0" w:name="_GoBack"/>
      <w:bookmarkEnd w:id="0"/>
      <w:r>
        <w:rPr>
          <w:rFonts w:ascii="Century Gothic" w:hAnsi="Century Gothic" w:cs="Tahoma"/>
          <w:b/>
          <w:color w:val="000000" w:themeColor="text1"/>
          <w:spacing w:val="5"/>
        </w:rPr>
        <w:t>BRUNO FERREIRA CYPRIANO</w:t>
      </w:r>
    </w:p>
    <w:p w:rsidR="006B1BAD" w:rsidRPr="006B1BAD" w:rsidRDefault="006B1BAD" w:rsidP="006B1BAD">
      <w:pPr>
        <w:pStyle w:val="NormalWeb"/>
        <w:shd w:val="clear" w:color="auto" w:fill="FFFFFF"/>
        <w:spacing w:line="360" w:lineRule="auto"/>
        <w:contextualSpacing/>
        <w:jc w:val="center"/>
        <w:rPr>
          <w:rFonts w:ascii="Century Gothic" w:hAnsi="Century Gothic" w:cs="Tahoma"/>
          <w:b/>
          <w:color w:val="000000" w:themeColor="text1"/>
          <w:spacing w:val="5"/>
        </w:rPr>
      </w:pPr>
      <w:r>
        <w:rPr>
          <w:rFonts w:ascii="Century Gothic" w:hAnsi="Century Gothic" w:cs="Tahoma"/>
          <w:b/>
          <w:color w:val="000000" w:themeColor="text1"/>
          <w:spacing w:val="5"/>
        </w:rPr>
        <w:t>Presidente Interino do IPREMB</w:t>
      </w:r>
    </w:p>
    <w:sectPr w:rsidR="006B1BAD" w:rsidRPr="006B1B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7AB"/>
    <w:rsid w:val="00060EA0"/>
    <w:rsid w:val="000C15C8"/>
    <w:rsid w:val="000E70AA"/>
    <w:rsid w:val="00267AB2"/>
    <w:rsid w:val="00394F07"/>
    <w:rsid w:val="004937AB"/>
    <w:rsid w:val="005937B7"/>
    <w:rsid w:val="005C43EA"/>
    <w:rsid w:val="00620684"/>
    <w:rsid w:val="006277D9"/>
    <w:rsid w:val="0068346A"/>
    <w:rsid w:val="006B1BAD"/>
    <w:rsid w:val="00704E93"/>
    <w:rsid w:val="00741A93"/>
    <w:rsid w:val="00874DB0"/>
    <w:rsid w:val="009A088E"/>
    <w:rsid w:val="00B114F5"/>
    <w:rsid w:val="00B76958"/>
    <w:rsid w:val="00B82B35"/>
    <w:rsid w:val="00CD42BA"/>
    <w:rsid w:val="00F0021B"/>
    <w:rsid w:val="00F57A32"/>
    <w:rsid w:val="00F66B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har"/>
    <w:uiPriority w:val="9"/>
    <w:qFormat/>
    <w:rsid w:val="004937AB"/>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937A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937AB"/>
    <w:rPr>
      <w:b/>
      <w:bCs/>
    </w:rPr>
  </w:style>
  <w:style w:type="character" w:styleId="nfase">
    <w:name w:val="Emphasis"/>
    <w:basedOn w:val="Fontepargpadro"/>
    <w:uiPriority w:val="20"/>
    <w:qFormat/>
    <w:rsid w:val="004937AB"/>
    <w:rPr>
      <w:i/>
      <w:iCs/>
    </w:rPr>
  </w:style>
  <w:style w:type="character" w:styleId="Hyperlink">
    <w:name w:val="Hyperlink"/>
    <w:basedOn w:val="Fontepargpadro"/>
    <w:uiPriority w:val="99"/>
    <w:semiHidden/>
    <w:unhideWhenUsed/>
    <w:rsid w:val="004937AB"/>
    <w:rPr>
      <w:color w:val="0000FF"/>
      <w:u w:val="single"/>
    </w:rPr>
  </w:style>
  <w:style w:type="character" w:customStyle="1" w:styleId="Ttulo2Char">
    <w:name w:val="Título 2 Char"/>
    <w:basedOn w:val="Fontepargpadro"/>
    <w:link w:val="Ttulo2"/>
    <w:uiPriority w:val="9"/>
    <w:rsid w:val="004937AB"/>
    <w:rPr>
      <w:rFonts w:ascii="Times New Roman" w:eastAsia="Times New Roman" w:hAnsi="Times New Roman" w:cs="Times New Roman"/>
      <w:b/>
      <w:bCs/>
      <w:sz w:val="36"/>
      <w:szCs w:val="36"/>
      <w:lang w:eastAsia="pt-BR"/>
    </w:rPr>
  </w:style>
  <w:style w:type="paragraph" w:customStyle="1" w:styleId="info">
    <w:name w:val="info"/>
    <w:basedOn w:val="Normal"/>
    <w:rsid w:val="004937A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nippet">
    <w:name w:val="snippet"/>
    <w:basedOn w:val="Normal"/>
    <w:rsid w:val="004937A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oTJ">
    <w:name w:val="CitaçãoTJ"/>
    <w:basedOn w:val="Normal"/>
    <w:link w:val="CitaoTJChar"/>
    <w:qFormat/>
    <w:rsid w:val="00741A93"/>
    <w:pPr>
      <w:autoSpaceDE w:val="0"/>
      <w:autoSpaceDN w:val="0"/>
      <w:adjustRightInd w:val="0"/>
      <w:spacing w:after="0" w:line="240" w:lineRule="auto"/>
      <w:ind w:left="2268"/>
      <w:jc w:val="both"/>
    </w:pPr>
    <w:rPr>
      <w:rFonts w:ascii="Arial" w:eastAsia="Times New Roman" w:hAnsi="Arial" w:cs="Times New Roman"/>
      <w:iCs/>
      <w:color w:val="000000"/>
      <w:szCs w:val="24"/>
      <w:lang w:eastAsia="pt-BR"/>
    </w:rPr>
  </w:style>
  <w:style w:type="paragraph" w:customStyle="1" w:styleId="NormalTJ">
    <w:name w:val="Normal TJ"/>
    <w:basedOn w:val="Normal"/>
    <w:qFormat/>
    <w:rsid w:val="00741A93"/>
    <w:pPr>
      <w:autoSpaceDE w:val="0"/>
      <w:autoSpaceDN w:val="0"/>
      <w:adjustRightInd w:val="0"/>
      <w:spacing w:after="0" w:line="360" w:lineRule="auto"/>
      <w:ind w:firstLine="709"/>
      <w:jc w:val="both"/>
    </w:pPr>
    <w:rPr>
      <w:rFonts w:ascii="Arial" w:eastAsia="Times New Roman" w:hAnsi="Arial" w:cs="Times New Roman"/>
      <w:sz w:val="24"/>
      <w:lang w:eastAsia="pt-BR"/>
    </w:rPr>
  </w:style>
  <w:style w:type="character" w:customStyle="1" w:styleId="CitaoTJChar">
    <w:name w:val="CitaçãoTJ Char"/>
    <w:link w:val="CitaoTJ"/>
    <w:locked/>
    <w:rsid w:val="00741A93"/>
    <w:rPr>
      <w:rFonts w:ascii="Arial" w:eastAsia="Times New Roman" w:hAnsi="Arial" w:cs="Times New Roman"/>
      <w:iCs/>
      <w:color w:val="000000"/>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har"/>
    <w:uiPriority w:val="9"/>
    <w:qFormat/>
    <w:rsid w:val="004937AB"/>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937A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937AB"/>
    <w:rPr>
      <w:b/>
      <w:bCs/>
    </w:rPr>
  </w:style>
  <w:style w:type="character" w:styleId="nfase">
    <w:name w:val="Emphasis"/>
    <w:basedOn w:val="Fontepargpadro"/>
    <w:uiPriority w:val="20"/>
    <w:qFormat/>
    <w:rsid w:val="004937AB"/>
    <w:rPr>
      <w:i/>
      <w:iCs/>
    </w:rPr>
  </w:style>
  <w:style w:type="character" w:styleId="Hyperlink">
    <w:name w:val="Hyperlink"/>
    <w:basedOn w:val="Fontepargpadro"/>
    <w:uiPriority w:val="99"/>
    <w:semiHidden/>
    <w:unhideWhenUsed/>
    <w:rsid w:val="004937AB"/>
    <w:rPr>
      <w:color w:val="0000FF"/>
      <w:u w:val="single"/>
    </w:rPr>
  </w:style>
  <w:style w:type="character" w:customStyle="1" w:styleId="Ttulo2Char">
    <w:name w:val="Título 2 Char"/>
    <w:basedOn w:val="Fontepargpadro"/>
    <w:link w:val="Ttulo2"/>
    <w:uiPriority w:val="9"/>
    <w:rsid w:val="004937AB"/>
    <w:rPr>
      <w:rFonts w:ascii="Times New Roman" w:eastAsia="Times New Roman" w:hAnsi="Times New Roman" w:cs="Times New Roman"/>
      <w:b/>
      <w:bCs/>
      <w:sz w:val="36"/>
      <w:szCs w:val="36"/>
      <w:lang w:eastAsia="pt-BR"/>
    </w:rPr>
  </w:style>
  <w:style w:type="paragraph" w:customStyle="1" w:styleId="info">
    <w:name w:val="info"/>
    <w:basedOn w:val="Normal"/>
    <w:rsid w:val="004937A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nippet">
    <w:name w:val="snippet"/>
    <w:basedOn w:val="Normal"/>
    <w:rsid w:val="004937A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oTJ">
    <w:name w:val="CitaçãoTJ"/>
    <w:basedOn w:val="Normal"/>
    <w:link w:val="CitaoTJChar"/>
    <w:qFormat/>
    <w:rsid w:val="00741A93"/>
    <w:pPr>
      <w:autoSpaceDE w:val="0"/>
      <w:autoSpaceDN w:val="0"/>
      <w:adjustRightInd w:val="0"/>
      <w:spacing w:after="0" w:line="240" w:lineRule="auto"/>
      <w:ind w:left="2268"/>
      <w:jc w:val="both"/>
    </w:pPr>
    <w:rPr>
      <w:rFonts w:ascii="Arial" w:eastAsia="Times New Roman" w:hAnsi="Arial" w:cs="Times New Roman"/>
      <w:iCs/>
      <w:color w:val="000000"/>
      <w:szCs w:val="24"/>
      <w:lang w:eastAsia="pt-BR"/>
    </w:rPr>
  </w:style>
  <w:style w:type="paragraph" w:customStyle="1" w:styleId="NormalTJ">
    <w:name w:val="Normal TJ"/>
    <w:basedOn w:val="Normal"/>
    <w:qFormat/>
    <w:rsid w:val="00741A93"/>
    <w:pPr>
      <w:autoSpaceDE w:val="0"/>
      <w:autoSpaceDN w:val="0"/>
      <w:adjustRightInd w:val="0"/>
      <w:spacing w:after="0" w:line="360" w:lineRule="auto"/>
      <w:ind w:firstLine="709"/>
      <w:jc w:val="both"/>
    </w:pPr>
    <w:rPr>
      <w:rFonts w:ascii="Arial" w:eastAsia="Times New Roman" w:hAnsi="Arial" w:cs="Times New Roman"/>
      <w:sz w:val="24"/>
      <w:lang w:eastAsia="pt-BR"/>
    </w:rPr>
  </w:style>
  <w:style w:type="character" w:customStyle="1" w:styleId="CitaoTJChar">
    <w:name w:val="CitaçãoTJ Char"/>
    <w:link w:val="CitaoTJ"/>
    <w:locked/>
    <w:rsid w:val="00741A93"/>
    <w:rPr>
      <w:rFonts w:ascii="Arial" w:eastAsia="Times New Roman" w:hAnsi="Arial" w:cs="Times New Roman"/>
      <w:iCs/>
      <w:color w:val="000000"/>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37864">
      <w:bodyDiv w:val="1"/>
      <w:marLeft w:val="0"/>
      <w:marRight w:val="0"/>
      <w:marTop w:val="0"/>
      <w:marBottom w:val="0"/>
      <w:divBdr>
        <w:top w:val="none" w:sz="0" w:space="0" w:color="auto"/>
        <w:left w:val="none" w:sz="0" w:space="0" w:color="auto"/>
        <w:bottom w:val="none" w:sz="0" w:space="0" w:color="auto"/>
        <w:right w:val="none" w:sz="0" w:space="0" w:color="auto"/>
      </w:divBdr>
      <w:divsChild>
        <w:div w:id="1296448203">
          <w:marLeft w:val="0"/>
          <w:marRight w:val="0"/>
          <w:marTop w:val="0"/>
          <w:marBottom w:val="0"/>
          <w:divBdr>
            <w:top w:val="single" w:sz="8" w:space="1" w:color="auto"/>
            <w:left w:val="single" w:sz="8" w:space="4" w:color="auto"/>
            <w:bottom w:val="single" w:sz="8" w:space="1" w:color="auto"/>
            <w:right w:val="single" w:sz="8" w:space="4" w:color="auto"/>
          </w:divBdr>
        </w:div>
      </w:divsChild>
    </w:div>
    <w:div w:id="236747920">
      <w:bodyDiv w:val="1"/>
      <w:marLeft w:val="0"/>
      <w:marRight w:val="0"/>
      <w:marTop w:val="0"/>
      <w:marBottom w:val="0"/>
      <w:divBdr>
        <w:top w:val="none" w:sz="0" w:space="0" w:color="auto"/>
        <w:left w:val="none" w:sz="0" w:space="0" w:color="auto"/>
        <w:bottom w:val="none" w:sz="0" w:space="0" w:color="auto"/>
        <w:right w:val="none" w:sz="0" w:space="0" w:color="auto"/>
      </w:divBdr>
    </w:div>
    <w:div w:id="334379433">
      <w:bodyDiv w:val="1"/>
      <w:marLeft w:val="0"/>
      <w:marRight w:val="0"/>
      <w:marTop w:val="0"/>
      <w:marBottom w:val="0"/>
      <w:divBdr>
        <w:top w:val="none" w:sz="0" w:space="0" w:color="auto"/>
        <w:left w:val="none" w:sz="0" w:space="0" w:color="auto"/>
        <w:bottom w:val="none" w:sz="0" w:space="0" w:color="auto"/>
        <w:right w:val="none" w:sz="0" w:space="0" w:color="auto"/>
      </w:divBdr>
    </w:div>
    <w:div w:id="1488746725">
      <w:bodyDiv w:val="1"/>
      <w:marLeft w:val="0"/>
      <w:marRight w:val="0"/>
      <w:marTop w:val="0"/>
      <w:marBottom w:val="0"/>
      <w:divBdr>
        <w:top w:val="none" w:sz="0" w:space="0" w:color="auto"/>
        <w:left w:val="none" w:sz="0" w:space="0" w:color="auto"/>
        <w:bottom w:val="none" w:sz="0" w:space="0" w:color="auto"/>
        <w:right w:val="none" w:sz="0" w:space="0" w:color="auto"/>
      </w:divBdr>
    </w:div>
    <w:div w:id="181325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nu.jusbrasil.com.br/jurisprudencia/317683271/pedido-de-uniformizacao-de-interpretacao-de-lei-federal-pedilef-5064314620144058400" TargetMode="External"/><Relationship Id="rId3" Type="http://schemas.microsoft.com/office/2007/relationships/stylesWithEffects" Target="stylesWithEffects.xml"/><Relationship Id="rId7" Type="http://schemas.openxmlformats.org/officeDocument/2006/relationships/hyperlink" Target="http://www.stj.jus.br/webstj/processo/justica/jurisprudencia.asp?tipo=num_pro&amp;valor=Pet%20915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revistadoutrina.trf4.jus.br/artigos/edicao055/Joao_Lazzari.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099A2-A987-4E72-A778-F900F5A0B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17</Pages>
  <Words>4056</Words>
  <Characters>21903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Geraldo Feranades Martins</dc:creator>
  <cp:lastModifiedBy>Jose Geraldo Feranades Martins</cp:lastModifiedBy>
  <cp:revision>6</cp:revision>
  <cp:lastPrinted>2019-10-22T14:32:00Z</cp:lastPrinted>
  <dcterms:created xsi:type="dcterms:W3CDTF">2019-10-18T15:48:00Z</dcterms:created>
  <dcterms:modified xsi:type="dcterms:W3CDTF">2019-10-22T14:46:00Z</dcterms:modified>
</cp:coreProperties>
</file>